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Default="00296174" w:rsidP="00296174">
      <w:pPr>
        <w:ind w:left="426" w:right="-17"/>
        <w:jc w:val="center"/>
        <w:rPr>
          <w:rFonts w:ascii="Arial" w:hAnsi="Arial" w:cs="Arial"/>
          <w:b/>
        </w:rPr>
      </w:pPr>
      <w:bookmarkStart w:id="0" w:name="_Hlk142658039"/>
    </w:p>
    <w:p w14:paraId="47E5D65F" w14:textId="0F812506" w:rsidR="001D32DF" w:rsidRPr="00296174" w:rsidRDefault="001D32DF" w:rsidP="00296174">
      <w:pPr>
        <w:ind w:left="426" w:right="-17"/>
        <w:jc w:val="center"/>
        <w:rPr>
          <w:rFonts w:ascii="Arial" w:hAnsi="Arial" w:cs="Arial"/>
          <w:b/>
        </w:rPr>
      </w:pPr>
      <w:r w:rsidRPr="00296174">
        <w:rPr>
          <w:rFonts w:ascii="Arial" w:hAnsi="Arial" w:cs="Arial"/>
          <w:b/>
        </w:rPr>
        <w:t>ANEXO V</w:t>
      </w:r>
      <w:r w:rsidR="00FF2E17" w:rsidRPr="00296174">
        <w:rPr>
          <w:rFonts w:ascii="Arial" w:hAnsi="Arial" w:cs="Arial"/>
          <w:b/>
        </w:rPr>
        <w:t>I</w:t>
      </w:r>
      <w:r w:rsidR="00ED5F45">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5CCAF849" w:rsidR="001D4AC3" w:rsidRPr="001A1F50" w:rsidRDefault="001D4AC3" w:rsidP="00D5096A">
      <w:pPr>
        <w:pStyle w:val="NormalWeb"/>
        <w:spacing w:line="276" w:lineRule="auto"/>
        <w:jc w:val="both"/>
        <w:rPr>
          <w:rFonts w:ascii="Arial" w:hAnsi="Arial" w:cs="Arial"/>
          <w:color w:val="000000" w:themeColor="text1"/>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1A1F50">
        <w:rPr>
          <w:rFonts w:ascii="Arial" w:hAnsi="Arial" w:cs="Arial"/>
          <w:b/>
          <w:bCs/>
          <w:color w:val="000000" w:themeColor="text1"/>
          <w:sz w:val="22"/>
          <w:szCs w:val="22"/>
        </w:rPr>
        <w:t xml:space="preserve">Administrativo nº </w:t>
      </w:r>
      <w:r w:rsidR="001A1F50" w:rsidRPr="001A1F50">
        <w:rPr>
          <w:rFonts w:ascii="Arial" w:hAnsi="Arial" w:cs="Arial"/>
          <w:b/>
          <w:bCs/>
          <w:color w:val="000000" w:themeColor="text1"/>
          <w:sz w:val="22"/>
          <w:szCs w:val="22"/>
        </w:rPr>
        <w:t>22.400/2023</w:t>
      </w:r>
      <w:r w:rsidR="005466C3" w:rsidRPr="001A1F50">
        <w:rPr>
          <w:rFonts w:ascii="Arial" w:hAnsi="Arial" w:cs="Arial"/>
          <w:b/>
          <w:bCs/>
          <w:color w:val="000000" w:themeColor="text1"/>
          <w:sz w:val="22"/>
          <w:szCs w:val="22"/>
        </w:rPr>
        <w:t xml:space="preserve"> </w:t>
      </w:r>
      <w:r w:rsidRPr="001A1F50">
        <w:rPr>
          <w:rFonts w:ascii="Arial" w:hAnsi="Arial" w:cs="Arial"/>
          <w:color w:val="000000" w:themeColor="text1"/>
          <w:sz w:val="22"/>
          <w:szCs w:val="22"/>
        </w:rPr>
        <w:t xml:space="preserve">e </w:t>
      </w:r>
      <w:r w:rsidRPr="009872FB">
        <w:rPr>
          <w:rFonts w:ascii="Arial" w:hAnsi="Arial" w:cs="Arial"/>
          <w:sz w:val="22"/>
          <w:szCs w:val="22"/>
        </w:rPr>
        <w:t xml:space="preserve">em observância às disposições da Lei nº </w:t>
      </w:r>
      <w:r w:rsidR="00F232EF" w:rsidRPr="009872FB">
        <w:rPr>
          <w:rFonts w:ascii="Arial" w:hAnsi="Arial" w:cs="Arial"/>
          <w:sz w:val="22"/>
          <w:szCs w:val="22"/>
        </w:rPr>
        <w:t xml:space="preserve">14.133, </w:t>
      </w:r>
      <w:r w:rsidR="009872FB" w:rsidRPr="009872FB">
        <w:rPr>
          <w:rFonts w:ascii="Arial" w:hAnsi="Arial" w:cs="Arial"/>
          <w:sz w:val="22"/>
          <w:szCs w:val="22"/>
        </w:rPr>
        <w:t xml:space="preserve">de 1º de abril </w:t>
      </w:r>
      <w:r w:rsidR="00F232EF" w:rsidRPr="009872FB">
        <w:rPr>
          <w:rFonts w:ascii="Arial" w:hAnsi="Arial" w:cs="Arial"/>
          <w:sz w:val="22"/>
          <w:szCs w:val="22"/>
        </w:rPr>
        <w:t>de 2021</w:t>
      </w:r>
      <w:r w:rsidR="0050761F" w:rsidRPr="009872FB">
        <w:rPr>
          <w:rFonts w:ascii="Arial" w:hAnsi="Arial" w:cs="Arial"/>
          <w:sz w:val="22"/>
          <w:szCs w:val="22"/>
        </w:rPr>
        <w:t xml:space="preserve"> </w:t>
      </w:r>
      <w:r w:rsidR="0050761F" w:rsidRPr="009872FB">
        <w:rPr>
          <w:rFonts w:ascii="Arial" w:hAnsi="Arial" w:cs="Arial"/>
          <w:sz w:val="22"/>
          <w:szCs w:val="22"/>
          <w:lang w:val="pt-PT"/>
        </w:rPr>
        <w:t xml:space="preserve">e </w:t>
      </w:r>
      <w:r w:rsidR="009872FB" w:rsidRPr="009872FB">
        <w:rPr>
          <w:rFonts w:ascii="Arial" w:hAnsi="Arial" w:cs="Arial"/>
          <w:sz w:val="22"/>
          <w:szCs w:val="22"/>
          <w:lang w:val="pt-PT"/>
        </w:rPr>
        <w:t>demais legislações aplicáveis</w:t>
      </w:r>
      <w:r w:rsidR="006306EF" w:rsidRPr="009872FB">
        <w:rPr>
          <w:rFonts w:ascii="Arial" w:hAnsi="Arial" w:cs="Arial"/>
          <w:sz w:val="22"/>
          <w:szCs w:val="22"/>
        </w:rPr>
        <w:t>,</w:t>
      </w:r>
      <w:r w:rsidRPr="009872FB">
        <w:rPr>
          <w:rFonts w:ascii="Arial" w:hAnsi="Arial" w:cs="Arial"/>
          <w:i/>
          <w:sz w:val="22"/>
          <w:szCs w:val="22"/>
        </w:rPr>
        <w:t xml:space="preserve"> </w:t>
      </w:r>
      <w:r w:rsidRPr="009872FB">
        <w:rPr>
          <w:rFonts w:ascii="Arial" w:hAnsi="Arial" w:cs="Arial"/>
          <w:sz w:val="22"/>
          <w:szCs w:val="22"/>
        </w:rPr>
        <w:t xml:space="preserve">resolvem celebrar o presente Termo de Contrato, decorrente do </w:t>
      </w:r>
      <w:r w:rsidR="005466C3" w:rsidRPr="001A1F50">
        <w:rPr>
          <w:rFonts w:ascii="Arial" w:hAnsi="Arial" w:cs="Arial"/>
          <w:b/>
          <w:bCs/>
          <w:color w:val="000000" w:themeColor="text1"/>
          <w:sz w:val="22"/>
          <w:szCs w:val="22"/>
        </w:rPr>
        <w:t>Pregão Eletrônico</w:t>
      </w:r>
      <w:r w:rsidR="000B23ED" w:rsidRPr="001A1F50">
        <w:rPr>
          <w:rFonts w:ascii="Arial" w:hAnsi="Arial" w:cs="Arial"/>
          <w:b/>
          <w:bCs/>
          <w:color w:val="000000" w:themeColor="text1"/>
          <w:sz w:val="22"/>
          <w:szCs w:val="22"/>
        </w:rPr>
        <w:t xml:space="preserve"> </w:t>
      </w:r>
      <w:r w:rsidR="005466C3" w:rsidRPr="001A1F50">
        <w:rPr>
          <w:rFonts w:ascii="Arial" w:hAnsi="Arial" w:cs="Arial"/>
          <w:b/>
          <w:bCs/>
          <w:color w:val="000000" w:themeColor="text1"/>
          <w:sz w:val="22"/>
          <w:szCs w:val="22"/>
        </w:rPr>
        <w:t xml:space="preserve">nº </w:t>
      </w:r>
      <w:r w:rsidR="001A1F50" w:rsidRPr="001A1F50">
        <w:rPr>
          <w:rFonts w:ascii="Arial" w:hAnsi="Arial" w:cs="Arial"/>
          <w:b/>
          <w:bCs/>
          <w:color w:val="000000" w:themeColor="text1"/>
          <w:sz w:val="22"/>
          <w:szCs w:val="22"/>
        </w:rPr>
        <w:t>276/2023</w:t>
      </w:r>
      <w:r w:rsidRPr="001A1F50">
        <w:rPr>
          <w:rFonts w:ascii="Arial" w:hAnsi="Arial" w:cs="Arial"/>
          <w:color w:val="000000" w:themeColor="text1"/>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4A579FBC" w:rsidR="001D32DF" w:rsidRDefault="00B0084D" w:rsidP="001A1F50">
      <w:pPr>
        <w:jc w:val="both"/>
        <w:rPr>
          <w:rFonts w:ascii="Arial" w:hAnsi="Arial" w:cs="Arial"/>
          <w:bCs/>
          <w:iCs/>
        </w:rPr>
      </w:pPr>
      <w:r w:rsidRPr="00600C4D">
        <w:rPr>
          <w:rFonts w:ascii="Azo Sans Lt" w:eastAsia="Calibri" w:hAnsi="Azo Sans Lt" w:cs="Times New Roman"/>
          <w:lang w:val="pt-BR"/>
        </w:rPr>
        <w:t xml:space="preserve">O objeto do presente instrumento é </w:t>
      </w:r>
      <w:r w:rsidR="00600C4D" w:rsidRPr="00600C4D">
        <w:rPr>
          <w:rFonts w:ascii="Azo Sans Lt" w:eastAsia="Calibri" w:hAnsi="Azo Sans Lt" w:cs="Times New Roman"/>
          <w:lang w:val="pt-BR"/>
        </w:rPr>
        <w:t>a</w:t>
      </w:r>
      <w:r w:rsidR="001A1F50" w:rsidRPr="001A1F50">
        <w:rPr>
          <w:rFonts w:ascii="Azo Sans Lt" w:eastAsia="Calibri" w:hAnsi="Azo Sans Lt" w:cs="Times New Roman"/>
          <w:lang w:val="pt-BR"/>
        </w:rPr>
        <w:t xml:space="preserve"> contratação de empresas especializadas para os serviços de: Bombeiro Civil – Brigada de Incêndio para eventos, Apoio a Segurança Não Armada para eventos, Locação de Banheiro Químico e Lavatório Portátil para eventos</w:t>
      </w:r>
      <w:r w:rsidR="001A1F50">
        <w:rPr>
          <w:rFonts w:ascii="Azo Sans Lt" w:eastAsia="Calibri" w:hAnsi="Azo Sans Lt" w:cs="Times New Roman"/>
          <w:lang w:val="pt-BR"/>
        </w:rPr>
        <w:t xml:space="preserve">, </w:t>
      </w:r>
      <w:r w:rsidRPr="00DB1B33">
        <w:rPr>
          <w:rFonts w:ascii="Arial" w:hAnsi="Arial" w:cs="Arial"/>
          <w:bCs/>
          <w:iCs/>
        </w:rPr>
        <w:t xml:space="preserve">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0CC1C9AC" w14:textId="47A3F8DE" w:rsidR="00F043BB" w:rsidRPr="00A73737" w:rsidRDefault="00F043BB" w:rsidP="00A73737">
      <w:pPr>
        <w:spacing w:after="113" w:line="276" w:lineRule="auto"/>
        <w:jc w:val="both"/>
        <w:rPr>
          <w:rFonts w:ascii="Arial" w:hAnsi="Arial" w:cs="Arial"/>
          <w:bCs/>
          <w:iCs/>
        </w:rPr>
      </w:pPr>
      <w:r w:rsidRPr="00A73737">
        <w:rPr>
          <w:rFonts w:ascii="Arial" w:hAnsi="Arial" w:cs="Arial"/>
          <w:bCs/>
          <w:iCs/>
        </w:rPr>
        <w:t>3.1 - O prazo de execução dos serviços será de 12 meses, contados da data de publicação do extrato da Ata de Registro de Preços.</w:t>
      </w:r>
    </w:p>
    <w:p w14:paraId="0162913F" w14:textId="326502D5" w:rsidR="00F043BB" w:rsidRPr="00A73737" w:rsidRDefault="00F043BB" w:rsidP="00A73737">
      <w:pPr>
        <w:spacing w:after="113" w:line="276" w:lineRule="auto"/>
        <w:jc w:val="both"/>
        <w:rPr>
          <w:rFonts w:ascii="Arial" w:hAnsi="Arial" w:cs="Arial"/>
          <w:bCs/>
          <w:iCs/>
        </w:rPr>
      </w:pPr>
      <w:r w:rsidRPr="00A73737">
        <w:rPr>
          <w:rFonts w:ascii="Arial" w:hAnsi="Arial" w:cs="Arial"/>
          <w:bCs/>
          <w:iCs/>
        </w:rPr>
        <w:t>3.1.1 - A prestação do serviço acontecerá dentro do território de Nova Friburgo contemplando os 08 distritos e será informado no momento da solicitação do serviço.</w:t>
      </w:r>
    </w:p>
    <w:p w14:paraId="3D6AD57C" w14:textId="5E1A1FC8" w:rsidR="00F043BB" w:rsidRPr="00A73737" w:rsidRDefault="00F043BB" w:rsidP="00A73737">
      <w:pPr>
        <w:pStyle w:val="PargrafodaLista"/>
        <w:numPr>
          <w:ilvl w:val="2"/>
          <w:numId w:val="15"/>
        </w:numPr>
        <w:spacing w:after="113" w:line="276" w:lineRule="auto"/>
        <w:jc w:val="both"/>
        <w:rPr>
          <w:rFonts w:ascii="Arial" w:hAnsi="Arial" w:cs="Arial"/>
          <w:bCs/>
          <w:iCs/>
        </w:rPr>
      </w:pPr>
      <w:r w:rsidRPr="00A73737">
        <w:rPr>
          <w:rFonts w:ascii="Arial" w:hAnsi="Arial" w:cs="Arial"/>
          <w:bCs/>
          <w:iCs/>
        </w:rPr>
        <w:t>- As necessidades inerentes a cada lote está descrita nos respectivos apêndices:</w:t>
      </w:r>
    </w:p>
    <w:p w14:paraId="468CC758" w14:textId="64E148DC" w:rsidR="00F043BB" w:rsidRPr="00A73737" w:rsidRDefault="00A73737" w:rsidP="00A73737">
      <w:pPr>
        <w:pStyle w:val="PargrafodaLista"/>
        <w:widowControl/>
        <w:suppressAutoHyphens/>
        <w:autoSpaceDE/>
        <w:autoSpaceDN/>
        <w:spacing w:before="0" w:after="113" w:line="276" w:lineRule="auto"/>
        <w:ind w:left="0"/>
        <w:contextualSpacing/>
        <w:jc w:val="both"/>
        <w:rPr>
          <w:rFonts w:ascii="Arial" w:hAnsi="Arial" w:cs="Arial"/>
          <w:bCs/>
          <w:iCs/>
        </w:rPr>
      </w:pPr>
      <w:r>
        <w:rPr>
          <w:rFonts w:ascii="Arial" w:hAnsi="Arial" w:cs="Arial"/>
          <w:bCs/>
          <w:iCs/>
        </w:rPr>
        <w:t xml:space="preserve">- </w:t>
      </w:r>
      <w:r w:rsidR="00F043BB" w:rsidRPr="00A73737">
        <w:rPr>
          <w:rFonts w:ascii="Arial" w:hAnsi="Arial" w:cs="Arial"/>
          <w:bCs/>
          <w:iCs/>
        </w:rPr>
        <w:t>Bombeiro Civil – Brigada de Incêndio para eventos (Apêndice A)</w:t>
      </w:r>
    </w:p>
    <w:p w14:paraId="21C86359" w14:textId="728F0F3A" w:rsidR="00F043BB" w:rsidRPr="00A73737" w:rsidRDefault="00A73737" w:rsidP="00A73737">
      <w:pPr>
        <w:pStyle w:val="PargrafodaLista"/>
        <w:widowControl/>
        <w:suppressAutoHyphens/>
        <w:autoSpaceDE/>
        <w:autoSpaceDN/>
        <w:spacing w:before="0" w:after="113" w:line="276" w:lineRule="auto"/>
        <w:ind w:left="0"/>
        <w:contextualSpacing/>
        <w:jc w:val="both"/>
        <w:rPr>
          <w:rFonts w:ascii="Arial" w:hAnsi="Arial" w:cs="Arial"/>
          <w:bCs/>
          <w:iCs/>
        </w:rPr>
      </w:pPr>
      <w:r>
        <w:rPr>
          <w:rFonts w:ascii="Arial" w:hAnsi="Arial" w:cs="Arial"/>
          <w:bCs/>
          <w:iCs/>
        </w:rPr>
        <w:t xml:space="preserve">- </w:t>
      </w:r>
      <w:r w:rsidR="00F043BB" w:rsidRPr="00A73737">
        <w:rPr>
          <w:rFonts w:ascii="Arial" w:hAnsi="Arial" w:cs="Arial"/>
          <w:bCs/>
          <w:iCs/>
        </w:rPr>
        <w:t>Apoio a Segurança Não Armada para eventos (Apêndice B)</w:t>
      </w:r>
    </w:p>
    <w:p w14:paraId="1F9801C9" w14:textId="6A42D302" w:rsidR="00F043BB" w:rsidRPr="00A73737" w:rsidRDefault="00A73737" w:rsidP="00A73737">
      <w:pPr>
        <w:pStyle w:val="PargrafodaLista"/>
        <w:widowControl/>
        <w:suppressAutoHyphens/>
        <w:autoSpaceDE/>
        <w:autoSpaceDN/>
        <w:spacing w:before="0" w:after="113" w:line="276" w:lineRule="auto"/>
        <w:ind w:left="0"/>
        <w:contextualSpacing/>
        <w:jc w:val="both"/>
        <w:rPr>
          <w:rFonts w:ascii="Arial" w:hAnsi="Arial" w:cs="Arial"/>
          <w:bCs/>
          <w:iCs/>
        </w:rPr>
      </w:pPr>
      <w:r>
        <w:rPr>
          <w:rFonts w:ascii="Arial" w:hAnsi="Arial" w:cs="Arial"/>
          <w:bCs/>
          <w:iCs/>
        </w:rPr>
        <w:t xml:space="preserve">- </w:t>
      </w:r>
      <w:r w:rsidR="00F043BB" w:rsidRPr="00A73737">
        <w:rPr>
          <w:rFonts w:ascii="Arial" w:hAnsi="Arial" w:cs="Arial"/>
          <w:bCs/>
          <w:iCs/>
        </w:rPr>
        <w:t>Locação de Banheiro Químico para eventos (Apêndice C)</w:t>
      </w:r>
    </w:p>
    <w:p w14:paraId="25893531" w14:textId="6D67DDEB" w:rsidR="00F043BB" w:rsidRPr="00A73737" w:rsidRDefault="00A73737" w:rsidP="00A73737">
      <w:pPr>
        <w:pStyle w:val="PargrafodaLista"/>
        <w:widowControl/>
        <w:suppressAutoHyphens/>
        <w:autoSpaceDE/>
        <w:autoSpaceDN/>
        <w:spacing w:before="0" w:after="113" w:line="276" w:lineRule="auto"/>
        <w:ind w:left="0"/>
        <w:contextualSpacing/>
        <w:jc w:val="both"/>
        <w:rPr>
          <w:rFonts w:ascii="Arial" w:hAnsi="Arial" w:cs="Arial"/>
          <w:bCs/>
          <w:iCs/>
        </w:rPr>
      </w:pPr>
      <w:r>
        <w:rPr>
          <w:rFonts w:ascii="Arial" w:hAnsi="Arial" w:cs="Arial"/>
          <w:bCs/>
          <w:iCs/>
        </w:rPr>
        <w:t xml:space="preserve">- </w:t>
      </w:r>
      <w:r w:rsidR="00F043BB" w:rsidRPr="00A73737">
        <w:rPr>
          <w:rFonts w:ascii="Arial" w:hAnsi="Arial" w:cs="Arial"/>
          <w:bCs/>
          <w:iCs/>
        </w:rPr>
        <w:t>Lavatório Portátil (Apêndice D)</w:t>
      </w:r>
    </w:p>
    <w:p w14:paraId="3E440A48" w14:textId="1CD9F178" w:rsidR="00F043BB" w:rsidRPr="00FC013E" w:rsidRDefault="00F043BB" w:rsidP="00A73737">
      <w:pPr>
        <w:pStyle w:val="Nivel1"/>
        <w:numPr>
          <w:ilvl w:val="1"/>
          <w:numId w:val="14"/>
        </w:numPr>
        <w:spacing w:before="0" w:after="113"/>
        <w:ind w:left="0" w:firstLine="0"/>
        <w:rPr>
          <w:rFonts w:eastAsia="Verdana"/>
          <w:iCs/>
          <w:color w:val="auto"/>
          <w:sz w:val="22"/>
          <w:szCs w:val="22"/>
          <w:lang w:val="pt-PT"/>
        </w:rPr>
      </w:pPr>
      <w:r w:rsidRPr="00FC013E">
        <w:rPr>
          <w:rFonts w:eastAsia="Verdana"/>
          <w:iCs/>
          <w:color w:val="auto"/>
          <w:sz w:val="22"/>
          <w:szCs w:val="22"/>
          <w:lang w:val="pt-PT"/>
        </w:rPr>
        <w:t>MATERIAIS A SEREM DISPONIBILIZADOS</w:t>
      </w:r>
    </w:p>
    <w:p w14:paraId="534B307D" w14:textId="3386D02F" w:rsidR="00F043BB" w:rsidRPr="00A73737" w:rsidRDefault="00F043BB" w:rsidP="00A73737">
      <w:pPr>
        <w:spacing w:after="113" w:line="276" w:lineRule="auto"/>
        <w:jc w:val="both"/>
        <w:rPr>
          <w:rFonts w:ascii="Arial" w:hAnsi="Arial" w:cs="Arial"/>
          <w:bCs/>
          <w:iCs/>
        </w:rPr>
      </w:pPr>
      <w:r w:rsidRPr="00A73737">
        <w:rPr>
          <w:rFonts w:ascii="Arial" w:hAnsi="Arial" w:cs="Arial"/>
          <w:bCs/>
          <w:iCs/>
        </w:rPr>
        <w:t>3.2.1 - Para a perfeita execução dos serviços, a Contratada para o serviço de Apoio a Segurança não Armada para eventos (lote 02) deverá, quando solicitada, deixar a disposição da Secretaria solicitante até 10 (dez) rádios comunicadores com lapela e carregadores de bateria durante o evento, ficando o Fiscal de contrato responsável pela guarda dos equipamentos promovendo sua substituição quando necessário.</w:t>
      </w:r>
    </w:p>
    <w:p w14:paraId="61EC0E77" w14:textId="07CEC8E2" w:rsidR="00F043BB" w:rsidRPr="00FC013E" w:rsidRDefault="00F043BB" w:rsidP="00A73737">
      <w:pPr>
        <w:spacing w:after="113" w:line="276" w:lineRule="auto"/>
        <w:rPr>
          <w:rFonts w:ascii="Arial" w:hAnsi="Arial" w:cs="Arial"/>
          <w:b/>
          <w:iCs/>
        </w:rPr>
      </w:pPr>
      <w:r w:rsidRPr="00FC013E">
        <w:rPr>
          <w:rFonts w:ascii="Arial" w:hAnsi="Arial" w:cs="Arial"/>
          <w:b/>
          <w:iCs/>
        </w:rPr>
        <w:t>3.2.2 - INFORMAÇÕES RELEVANTES PARA O DIMENSIONAMENTO DA PROPOSTA</w:t>
      </w:r>
    </w:p>
    <w:p w14:paraId="37F3E763" w14:textId="3A07F516" w:rsidR="00F043BB" w:rsidRPr="00A73737" w:rsidRDefault="00F043BB" w:rsidP="00A73737">
      <w:pPr>
        <w:spacing w:after="113" w:line="276" w:lineRule="auto"/>
        <w:jc w:val="both"/>
        <w:rPr>
          <w:rFonts w:ascii="Arial" w:hAnsi="Arial" w:cs="Arial"/>
          <w:bCs/>
          <w:iCs/>
        </w:rPr>
      </w:pPr>
      <w:r w:rsidRPr="00A73737">
        <w:rPr>
          <w:rFonts w:ascii="Arial" w:hAnsi="Arial" w:cs="Arial"/>
          <w:bCs/>
          <w:iCs/>
        </w:rPr>
        <w:t>3.2.3 - A Secretaria Municipal de Turismo e Marketing da Cidade e a Secretaria Municipal de Cultura realizam eventos de forma contumaz, sendo uma das diretrizes destas Secretarias a promoção da diversidade cultural e o fomento à divulgação da arte, cultura e o turismo em todas as suas vertentes.</w:t>
      </w:r>
    </w:p>
    <w:p w14:paraId="230099FB" w14:textId="3693F1EB" w:rsidR="00F043BB" w:rsidRPr="00A73737" w:rsidRDefault="00F043BB" w:rsidP="00A73737">
      <w:pPr>
        <w:pStyle w:val="PargrafodaLista"/>
        <w:spacing w:after="113" w:line="276" w:lineRule="auto"/>
        <w:ind w:left="0"/>
        <w:jc w:val="both"/>
        <w:rPr>
          <w:rFonts w:ascii="Arial" w:hAnsi="Arial" w:cs="Arial"/>
          <w:bCs/>
          <w:iCs/>
        </w:rPr>
      </w:pPr>
      <w:r w:rsidRPr="00A73737">
        <w:rPr>
          <w:rFonts w:ascii="Arial" w:hAnsi="Arial" w:cs="Arial"/>
          <w:bCs/>
          <w:iCs/>
        </w:rPr>
        <w:t>3.2.4 -</w:t>
      </w:r>
      <w:r w:rsidRPr="00FC013E">
        <w:rPr>
          <w:rFonts w:ascii="Arial" w:hAnsi="Arial" w:cs="Arial"/>
          <w:bCs/>
          <w:iCs/>
        </w:rPr>
        <w:t xml:space="preserve"> </w:t>
      </w:r>
      <w:r w:rsidRPr="00A73737">
        <w:rPr>
          <w:rFonts w:ascii="Arial" w:hAnsi="Arial" w:cs="Arial"/>
          <w:bCs/>
          <w:iCs/>
        </w:rPr>
        <w:t xml:space="preserve">Na ânsia de prever possíveis dificuldades administrativas relacionada a tramitação </w:t>
      </w:r>
      <w:r w:rsidRPr="00A73737">
        <w:rPr>
          <w:rFonts w:ascii="Arial" w:hAnsi="Arial" w:cs="Arial"/>
          <w:bCs/>
          <w:iCs/>
        </w:rPr>
        <w:lastRenderedPageBreak/>
        <w:t>processual em espaço escasso de tempo entre um evento e outro e a fim de buscar a economicidade e a legalidade dos atos públicos, as Secretarias envolvidas optaram por um procedimento administrativo que abrangesse todas as necessidades relacionadas para os próximos 12 meses.</w:t>
      </w:r>
    </w:p>
    <w:p w14:paraId="692003EE" w14:textId="5D6A1931" w:rsidR="00F043BB" w:rsidRPr="00A73737" w:rsidRDefault="00F043BB" w:rsidP="00A73737">
      <w:pPr>
        <w:spacing w:after="113" w:line="276" w:lineRule="auto"/>
        <w:jc w:val="both"/>
        <w:rPr>
          <w:rFonts w:ascii="Arial" w:hAnsi="Arial" w:cs="Arial"/>
          <w:bCs/>
          <w:iCs/>
        </w:rPr>
      </w:pPr>
      <w:r w:rsidRPr="00FC013E">
        <w:rPr>
          <w:rFonts w:ascii="Arial" w:hAnsi="Arial" w:cs="Arial"/>
          <w:bCs/>
          <w:iCs/>
        </w:rPr>
        <w:t>3.2.5 - Os eventos estimados abrangem datas comemorativas como o aniversário dos equipamentos culturais, carnaval, réveillon, aniversário da cidade, desfiles de Independência do Brasil, datas relacionadas a eventos ligados a cultura como o Dia Nacional da Cultura, por exemplo, o renomado Festival de Inverno, Festa da Cerveja, Festejos natalinos, festivais culturais, entre outros. A maioria deles ocorre em vias públicas e praças da cidade, onde normalmente ocorre aglomeração de pessoas e que carecem dos equipamentos e serviços referentes às presentes contratações.</w:t>
      </w:r>
    </w:p>
    <w:p w14:paraId="0C43A1D2" w14:textId="62E1A8C1" w:rsidR="00F043BB" w:rsidRPr="00A73737" w:rsidRDefault="00F043BB" w:rsidP="00A73737">
      <w:pPr>
        <w:spacing w:after="113" w:line="276" w:lineRule="auto"/>
        <w:jc w:val="both"/>
        <w:rPr>
          <w:rFonts w:ascii="Arial" w:hAnsi="Arial" w:cs="Arial"/>
          <w:bCs/>
          <w:iCs/>
        </w:rPr>
      </w:pPr>
      <w:r w:rsidRPr="00FC013E">
        <w:rPr>
          <w:rFonts w:ascii="Arial" w:hAnsi="Arial" w:cs="Arial"/>
          <w:bCs/>
          <w:iCs/>
        </w:rPr>
        <w:t>3.2.6 - Alguns destes eventos exigem uma grande quantidade de equipamentos e profissionais simultaneamente devido ao grande público, portanto a empresa deve estar ciente do quantitativo que poderá ser solicitado diariamente de acordo com o evento. Esta informação está detalhada no Apêndice especifico de cada serviço.</w:t>
      </w:r>
    </w:p>
    <w:p w14:paraId="39F251D2" w14:textId="4E95CE66" w:rsidR="00F043BB" w:rsidRPr="00FC013E" w:rsidRDefault="00A73737" w:rsidP="00F043BB">
      <w:pPr>
        <w:keepNext/>
        <w:keepLines/>
        <w:tabs>
          <w:tab w:val="left" w:pos="360"/>
        </w:tabs>
        <w:spacing w:after="113" w:line="276" w:lineRule="auto"/>
        <w:jc w:val="both"/>
        <w:outlineLvl w:val="0"/>
        <w:rPr>
          <w:rFonts w:ascii="Arial" w:hAnsi="Arial" w:cs="Arial"/>
          <w:b/>
          <w:iCs/>
        </w:rPr>
      </w:pPr>
      <w:r w:rsidRPr="00FC013E">
        <w:rPr>
          <w:rFonts w:ascii="Arial" w:hAnsi="Arial" w:cs="Arial"/>
          <w:b/>
          <w:iCs/>
        </w:rPr>
        <w:t xml:space="preserve">3.3 - </w:t>
      </w:r>
      <w:r w:rsidR="00F043BB" w:rsidRPr="00FC013E">
        <w:rPr>
          <w:rFonts w:ascii="Arial" w:hAnsi="Arial" w:cs="Arial"/>
          <w:b/>
          <w:iCs/>
        </w:rPr>
        <w:t>MODELO DE GESTÃO DO CONTRATO</w:t>
      </w:r>
    </w:p>
    <w:p w14:paraId="2039ADBF" w14:textId="4C863BB9" w:rsidR="00F043BB" w:rsidRPr="00FC013E" w:rsidRDefault="00A73737" w:rsidP="00A73737">
      <w:pPr>
        <w:spacing w:after="113" w:line="276" w:lineRule="auto"/>
        <w:rPr>
          <w:rFonts w:ascii="Arial" w:hAnsi="Arial" w:cs="Arial"/>
          <w:b/>
          <w:iCs/>
        </w:rPr>
      </w:pPr>
      <w:r w:rsidRPr="00FC013E">
        <w:rPr>
          <w:rFonts w:ascii="Arial" w:hAnsi="Arial" w:cs="Arial"/>
          <w:b/>
          <w:iCs/>
        </w:rPr>
        <w:t xml:space="preserve">3.3.1 - </w:t>
      </w:r>
      <w:r w:rsidR="00F043BB" w:rsidRPr="00FC013E">
        <w:rPr>
          <w:rFonts w:ascii="Arial" w:hAnsi="Arial" w:cs="Arial"/>
          <w:b/>
          <w:iCs/>
        </w:rPr>
        <w:t>ROTINAS DE FISCALIZAÇÃO CONTRATUAL</w:t>
      </w:r>
    </w:p>
    <w:p w14:paraId="5FCB44A9" w14:textId="3C375551"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3.3.1.1 - </w:t>
      </w:r>
      <w:r w:rsidR="00F043BB" w:rsidRPr="00FC013E">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14160427" w14:textId="3EDF6EC6"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3.3.1.2 - </w:t>
      </w:r>
      <w:r w:rsidR="00F043BB" w:rsidRPr="00FC013E">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2BAA1034" w14:textId="53BFDAD2"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3.3.1.3 - </w:t>
      </w:r>
      <w:r w:rsidR="00F043BB" w:rsidRPr="00FC013E">
        <w:rPr>
          <w:rFonts w:ascii="Arial" w:hAnsi="Arial" w:cs="Arial"/>
          <w:bCs/>
          <w:iCs/>
        </w:rPr>
        <w:t>A execução do contrato deverá ser acompanhada e fiscalizada pelo(s) fiscal(is) do contrato, ou pelos respectivos substitutos (Lei nº 14.133/2021, art. 117, caput).</w:t>
      </w:r>
    </w:p>
    <w:p w14:paraId="363C7208" w14:textId="08C32827"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3.3.1.4 - </w:t>
      </w:r>
      <w:r w:rsidR="00F043BB" w:rsidRPr="00FC013E">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47EF8043" w14:textId="3A66AFA0"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3.3.1.5 - </w:t>
      </w:r>
      <w:r w:rsidR="00F043BB" w:rsidRPr="00FC013E">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4A185EA2" w14:textId="2A10F5B9"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3.3.1.6 - </w:t>
      </w:r>
      <w:r w:rsidR="00F043BB" w:rsidRPr="00FC013E">
        <w:rPr>
          <w:rFonts w:ascii="Arial" w:hAnsi="Arial" w:cs="Arial"/>
          <w:bCs/>
          <w:iCs/>
        </w:rPr>
        <w:t>O contratado deverá manter preposto aceito pela Administração no local da obra ou do serviço para representá-lo na execução do contrato. (Lei nº 14.133/2021, art. 118).</w:t>
      </w:r>
    </w:p>
    <w:p w14:paraId="23F353F4" w14:textId="1C1C1E24"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3.3.1.7 - </w:t>
      </w:r>
      <w:r w:rsidR="00F043BB" w:rsidRPr="00FC013E">
        <w:rPr>
          <w:rFonts w:ascii="Arial" w:hAnsi="Arial" w:cs="Arial"/>
          <w:bCs/>
          <w:iCs/>
        </w:rPr>
        <w:t>A indicação ou a manutenção do preposto da empresa poderá ser recusada pelo órgão ou entidade, desde que devidamente justificada, devendo a empresa designar outro para o exercício da atividade (IN 5, art. 44, §1º)</w:t>
      </w:r>
    </w:p>
    <w:p w14:paraId="48E88F15" w14:textId="63D30AF9" w:rsidR="00F043BB" w:rsidRPr="00FC013E" w:rsidRDefault="00A73737" w:rsidP="00A73737">
      <w:pPr>
        <w:spacing w:after="113" w:line="276" w:lineRule="auto"/>
        <w:jc w:val="both"/>
        <w:rPr>
          <w:rFonts w:ascii="Arial" w:hAnsi="Arial" w:cs="Arial"/>
          <w:bCs/>
          <w:iCs/>
        </w:rPr>
      </w:pPr>
      <w:r w:rsidRPr="00FC013E">
        <w:rPr>
          <w:rFonts w:ascii="Arial" w:hAnsi="Arial" w:cs="Arial"/>
          <w:bCs/>
          <w:iCs/>
        </w:rPr>
        <w:t xml:space="preserve">3.3.1.8 - </w:t>
      </w:r>
      <w:r w:rsidR="00F043BB" w:rsidRPr="00FC013E">
        <w:rPr>
          <w:rFonts w:ascii="Arial" w:hAnsi="Arial" w:cs="Arial"/>
          <w:bCs/>
          <w:iCs/>
        </w:rPr>
        <w:t xml:space="preserve">O contratado será obrigado a reparar, corrigir, remover, reconstruir ou substituir, a </w:t>
      </w:r>
      <w:r w:rsidR="00F043BB" w:rsidRPr="00FC013E">
        <w:rPr>
          <w:rFonts w:ascii="Arial" w:hAnsi="Arial" w:cs="Arial"/>
          <w:bCs/>
          <w:iCs/>
        </w:rPr>
        <w:lastRenderedPageBreak/>
        <w:t>suas expensas, no total ou em parte, o objeto do contrato em que se verificarem vícios, defeitos ou incorreções resultantes de sua execução ou de materiais nela empregados (Lei nº 14.133/2021, art. 119).</w:t>
      </w:r>
    </w:p>
    <w:p w14:paraId="1CC5F17F" w14:textId="14D5E4F6" w:rsidR="00F043BB" w:rsidRPr="00FC013E" w:rsidRDefault="00A73737" w:rsidP="00A73737">
      <w:pPr>
        <w:spacing w:after="113" w:line="276" w:lineRule="auto"/>
        <w:jc w:val="both"/>
        <w:rPr>
          <w:rFonts w:ascii="Arial" w:hAnsi="Arial" w:cs="Arial"/>
          <w:bCs/>
          <w:iCs/>
        </w:rPr>
      </w:pPr>
      <w:bookmarkStart w:id="3" w:name="art120"/>
      <w:bookmarkEnd w:id="3"/>
      <w:r w:rsidRPr="00FC013E">
        <w:rPr>
          <w:rFonts w:ascii="Arial" w:hAnsi="Arial" w:cs="Arial"/>
          <w:bCs/>
          <w:iCs/>
        </w:rPr>
        <w:t xml:space="preserve">3.3.1.9 - </w:t>
      </w:r>
      <w:r w:rsidR="00F043BB" w:rsidRPr="00FC013E">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0CE58F2" w14:textId="2BFF67CF" w:rsidR="00F043BB" w:rsidRPr="00FC013E" w:rsidRDefault="00FC013E" w:rsidP="00A73737">
      <w:pPr>
        <w:spacing w:after="113" w:line="276" w:lineRule="auto"/>
        <w:jc w:val="both"/>
        <w:rPr>
          <w:rFonts w:ascii="Arial" w:hAnsi="Arial" w:cs="Arial"/>
          <w:bCs/>
          <w:iCs/>
        </w:rPr>
      </w:pPr>
      <w:bookmarkStart w:id="4" w:name="art121"/>
      <w:bookmarkEnd w:id="4"/>
      <w:r w:rsidRPr="00FC013E">
        <w:rPr>
          <w:rFonts w:ascii="Arial" w:hAnsi="Arial" w:cs="Arial"/>
          <w:bCs/>
          <w:iCs/>
        </w:rPr>
        <w:t xml:space="preserve">3.3.1.10 - </w:t>
      </w:r>
      <w:r w:rsidR="00F043BB" w:rsidRPr="00FC013E">
        <w:rPr>
          <w:rFonts w:ascii="Arial" w:hAnsi="Arial" w:cs="Arial"/>
          <w:bCs/>
          <w:iCs/>
        </w:rPr>
        <w:t>Somente o contratado será responsável pelos encargos trabalhistas, previdenciários, fiscais e comerciais resultantes da execução do contrato (Lei nº 14.133/2021, art. 121, caput).</w:t>
      </w:r>
    </w:p>
    <w:p w14:paraId="37372484" w14:textId="103459D0" w:rsidR="00F043BB" w:rsidRPr="00FC013E" w:rsidRDefault="00FC013E" w:rsidP="00FC013E">
      <w:pPr>
        <w:spacing w:after="113" w:line="276" w:lineRule="auto"/>
        <w:jc w:val="both"/>
        <w:rPr>
          <w:rFonts w:ascii="Arial" w:hAnsi="Arial" w:cs="Arial"/>
          <w:bCs/>
          <w:iCs/>
        </w:rPr>
      </w:pPr>
      <w:bookmarkStart w:id="5" w:name="art121§1"/>
      <w:bookmarkEnd w:id="5"/>
      <w:r w:rsidRPr="00FC013E">
        <w:rPr>
          <w:rFonts w:ascii="Arial" w:hAnsi="Arial" w:cs="Arial"/>
          <w:bCs/>
          <w:iCs/>
        </w:rPr>
        <w:t xml:space="preserve">3.3.1.11 - </w:t>
      </w:r>
      <w:r w:rsidR="00F043BB" w:rsidRPr="00FC013E">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5980A54F" w14:textId="14DCA13A" w:rsidR="00F043BB" w:rsidRPr="00FC013E" w:rsidRDefault="00FC013E" w:rsidP="00FC013E">
      <w:pPr>
        <w:spacing w:after="113" w:line="276" w:lineRule="auto"/>
        <w:jc w:val="both"/>
        <w:rPr>
          <w:rFonts w:ascii="Arial" w:hAnsi="Arial" w:cs="Arial"/>
          <w:bCs/>
          <w:iCs/>
        </w:rPr>
      </w:pPr>
      <w:bookmarkStart w:id="6" w:name="art123"/>
      <w:bookmarkStart w:id="7" w:name="art122§3"/>
      <w:bookmarkStart w:id="8" w:name="art122"/>
      <w:bookmarkStart w:id="9" w:name="art122§2"/>
      <w:bookmarkStart w:id="10" w:name="art122§1"/>
      <w:bookmarkEnd w:id="6"/>
      <w:bookmarkEnd w:id="7"/>
      <w:bookmarkEnd w:id="8"/>
      <w:bookmarkEnd w:id="9"/>
      <w:bookmarkEnd w:id="10"/>
      <w:r w:rsidRPr="00FC013E">
        <w:rPr>
          <w:rFonts w:ascii="Arial" w:hAnsi="Arial" w:cs="Arial"/>
          <w:bCs/>
          <w:iCs/>
        </w:rPr>
        <w:t xml:space="preserve">3.3.1.12 - </w:t>
      </w:r>
      <w:r w:rsidR="00F043BB" w:rsidRPr="00FC013E">
        <w:rPr>
          <w:rFonts w:ascii="Arial" w:hAnsi="Arial" w:cs="Arial"/>
          <w:bCs/>
          <w:iCs/>
        </w:rPr>
        <w:t>As comunicações entre o órgão ou entidade e a contratada devem ser realizadas por escrito sempre que o ato exigir tal formalidade, admitindo-se, excepcionalmente, o uso de mensagem eletrônica para esse fim (IN 5/2017, art. 44, §2º).</w:t>
      </w:r>
    </w:p>
    <w:p w14:paraId="37529ADF" w14:textId="4C676CCD" w:rsidR="00F043BB" w:rsidRPr="00FC013E" w:rsidRDefault="00FC013E" w:rsidP="00FC013E">
      <w:pPr>
        <w:spacing w:after="113" w:line="276" w:lineRule="auto"/>
        <w:jc w:val="both"/>
        <w:rPr>
          <w:rFonts w:ascii="Arial" w:hAnsi="Arial" w:cs="Arial"/>
          <w:bCs/>
          <w:iCs/>
        </w:rPr>
      </w:pPr>
      <w:r w:rsidRPr="00FC013E">
        <w:rPr>
          <w:rFonts w:ascii="Arial" w:hAnsi="Arial" w:cs="Arial"/>
          <w:bCs/>
          <w:iCs/>
        </w:rPr>
        <w:t xml:space="preserve">3.3.1.13 - </w:t>
      </w:r>
      <w:r w:rsidR="00F043BB" w:rsidRPr="00FC013E">
        <w:rPr>
          <w:rFonts w:ascii="Arial" w:hAnsi="Arial" w:cs="Arial"/>
          <w:bCs/>
          <w:iCs/>
        </w:rPr>
        <w:t>O órgão ou entidade poderá convocar representante da empresa para adoção de providências que devam ser cumpridas de imediato (IN 5/2017, art. 44, §3º).</w:t>
      </w:r>
    </w:p>
    <w:p w14:paraId="770C2850" w14:textId="57A7DDEA" w:rsidR="00F043BB" w:rsidRPr="00FC013E" w:rsidRDefault="00FC013E" w:rsidP="00FC013E">
      <w:pPr>
        <w:spacing w:after="113" w:line="276" w:lineRule="auto"/>
        <w:jc w:val="both"/>
        <w:rPr>
          <w:rFonts w:ascii="Arial" w:hAnsi="Arial" w:cs="Arial"/>
          <w:bCs/>
          <w:iCs/>
        </w:rPr>
      </w:pPr>
      <w:r w:rsidRPr="00FC013E">
        <w:rPr>
          <w:rFonts w:ascii="Arial" w:hAnsi="Arial" w:cs="Arial"/>
          <w:bCs/>
          <w:iCs/>
        </w:rPr>
        <w:t xml:space="preserve">3.3.1.14 - </w:t>
      </w:r>
      <w:r w:rsidR="00F043BB" w:rsidRPr="00FC013E">
        <w:rPr>
          <w:rFonts w:ascii="Arial" w:hAnsi="Arial" w:cs="Arial"/>
          <w:bCs/>
          <w:iCs/>
        </w:rPr>
        <w:t>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287373F5" w14:textId="2B529D69" w:rsidR="00F043BB" w:rsidRPr="00FC013E" w:rsidRDefault="00FC013E" w:rsidP="00FC013E">
      <w:pPr>
        <w:spacing w:after="113" w:line="276" w:lineRule="auto"/>
        <w:jc w:val="both"/>
        <w:rPr>
          <w:rFonts w:ascii="Arial" w:hAnsi="Arial" w:cs="Arial"/>
          <w:bCs/>
          <w:iCs/>
        </w:rPr>
      </w:pPr>
      <w:r w:rsidRPr="00FC013E">
        <w:rPr>
          <w:rFonts w:ascii="Arial" w:hAnsi="Arial" w:cs="Arial"/>
          <w:bCs/>
          <w:iCs/>
        </w:rPr>
        <w:t xml:space="preserve">3.3.1.15 - </w:t>
      </w:r>
      <w:r w:rsidR="00F043BB" w:rsidRPr="00FC013E">
        <w:rPr>
          <w:rFonts w:ascii="Arial" w:hAnsi="Arial" w:cs="Arial"/>
          <w:bCs/>
          <w:iCs/>
        </w:rPr>
        <w:t>Antes do pagamento da nota fiscal ou da fatura, deverá ser consultada a situação da empresa junto ao SICAF.</w:t>
      </w:r>
    </w:p>
    <w:p w14:paraId="7034513F" w14:textId="1A64AF6D" w:rsidR="00F043BB" w:rsidRDefault="00FC013E" w:rsidP="00FC013E">
      <w:pPr>
        <w:spacing w:after="113" w:line="276" w:lineRule="auto"/>
        <w:jc w:val="both"/>
        <w:rPr>
          <w:rFonts w:ascii="Arial" w:hAnsi="Arial" w:cs="Arial"/>
          <w:bCs/>
          <w:iCs/>
        </w:rPr>
      </w:pPr>
      <w:r w:rsidRPr="00FC013E">
        <w:rPr>
          <w:rFonts w:ascii="Arial" w:hAnsi="Arial" w:cs="Arial"/>
          <w:bCs/>
          <w:iCs/>
        </w:rPr>
        <w:t xml:space="preserve">3.3.1.16 - </w:t>
      </w:r>
      <w:r w:rsidR="00F043BB" w:rsidRPr="00FC013E">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3AAA18C" w14:textId="39551FC5" w:rsidR="00FC013E" w:rsidRPr="00FC013E" w:rsidRDefault="00FC013E" w:rsidP="00FC013E">
      <w:pPr>
        <w:spacing w:after="113" w:line="276" w:lineRule="auto"/>
        <w:jc w:val="both"/>
        <w:rPr>
          <w:rFonts w:ascii="Arial" w:hAnsi="Arial" w:cs="Arial"/>
          <w:b/>
          <w:iCs/>
        </w:rPr>
      </w:pPr>
      <w:r w:rsidRPr="00FC013E">
        <w:rPr>
          <w:rFonts w:ascii="Arial" w:hAnsi="Arial" w:cs="Arial"/>
          <w:b/>
          <w:iCs/>
        </w:rPr>
        <w:t xml:space="preserve">3.4 – DO RECEBIMENTO: </w:t>
      </w:r>
    </w:p>
    <w:p w14:paraId="20CA074C" w14:textId="69880A6B" w:rsidR="00FC013E" w:rsidRPr="00FC013E" w:rsidRDefault="00FC013E" w:rsidP="00FC013E">
      <w:pPr>
        <w:spacing w:after="113" w:line="276" w:lineRule="auto"/>
        <w:jc w:val="both"/>
        <w:rPr>
          <w:rFonts w:ascii="Arial" w:hAnsi="Arial" w:cs="Arial"/>
          <w:bCs/>
          <w:iCs/>
        </w:rPr>
      </w:pPr>
      <w:r w:rsidRPr="00FC013E">
        <w:rPr>
          <w:rFonts w:ascii="Arial" w:hAnsi="Arial" w:cs="Arial"/>
          <w:bCs/>
          <w:iCs/>
        </w:rPr>
        <w:t>3.4.1 - 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p>
    <w:p w14:paraId="0186B978" w14:textId="773F5398" w:rsidR="00FC013E" w:rsidRPr="00FC013E" w:rsidRDefault="00FC013E" w:rsidP="00FC013E">
      <w:pPr>
        <w:spacing w:after="113" w:line="276" w:lineRule="auto"/>
        <w:jc w:val="both"/>
        <w:rPr>
          <w:rFonts w:ascii="Arial" w:hAnsi="Arial" w:cs="Arial"/>
          <w:bCs/>
          <w:iCs/>
        </w:rPr>
      </w:pPr>
      <w:r w:rsidRPr="00FC013E">
        <w:rPr>
          <w:rFonts w:ascii="Arial" w:hAnsi="Arial" w:cs="Arial"/>
          <w:bCs/>
          <w:iCs/>
        </w:rPr>
        <w:t xml:space="preserve">3.4.1.1 - Realizar a análise dos relatórios e de toda a documentação apresentada pela fiscalização e, caso haja irregularidades que impeçam a liquidação e o pagamento da </w:t>
      </w:r>
      <w:r w:rsidRPr="00FC013E">
        <w:rPr>
          <w:rFonts w:ascii="Arial" w:hAnsi="Arial" w:cs="Arial"/>
          <w:bCs/>
          <w:iCs/>
        </w:rPr>
        <w:lastRenderedPageBreak/>
        <w:t>despesa, indicar as cláusulas contratuais pertinentes, solicitando à CONTRATADA, por escrito, as respectivas correções nos eventos futuros;</w:t>
      </w:r>
    </w:p>
    <w:p w14:paraId="2885CF51" w14:textId="0A7D18C7" w:rsidR="00FC013E" w:rsidRPr="00FC013E" w:rsidRDefault="00FC013E" w:rsidP="00FC013E">
      <w:pPr>
        <w:spacing w:after="113" w:line="276" w:lineRule="auto"/>
        <w:jc w:val="both"/>
        <w:rPr>
          <w:rFonts w:ascii="Arial" w:hAnsi="Arial" w:cs="Arial"/>
          <w:bCs/>
          <w:iCs/>
        </w:rPr>
      </w:pPr>
      <w:r w:rsidRPr="00FC013E">
        <w:rPr>
          <w:rFonts w:ascii="Arial" w:hAnsi="Arial" w:cs="Arial"/>
          <w:bCs/>
          <w:iCs/>
        </w:rPr>
        <w:t>3.4.1.2 - Emitir Termo Circunstanciado para efeito de recebimento definitivo dos serviços prestados, com base nos relatórios e documentações apresentadas; e</w:t>
      </w:r>
    </w:p>
    <w:p w14:paraId="306F1C09" w14:textId="5DE9545E" w:rsidR="00FC013E" w:rsidRPr="00FC013E" w:rsidRDefault="00FC013E" w:rsidP="00FC013E">
      <w:pPr>
        <w:spacing w:after="113" w:line="276" w:lineRule="auto"/>
        <w:jc w:val="both"/>
        <w:rPr>
          <w:rFonts w:ascii="Arial" w:hAnsi="Arial" w:cs="Arial"/>
          <w:bCs/>
          <w:iCs/>
        </w:rPr>
      </w:pPr>
      <w:r w:rsidRPr="00FC013E">
        <w:rPr>
          <w:rFonts w:ascii="Arial" w:hAnsi="Arial" w:cs="Arial"/>
          <w:bCs/>
          <w:iCs/>
        </w:rPr>
        <w:t>3.4.1.3 - Comunicar a empresa para que emita a Nota Fiscal ou Fatura, com o valor exato dimensionado pela fiscalização.</w:t>
      </w:r>
    </w:p>
    <w:p w14:paraId="319360CC" w14:textId="6AD0569A" w:rsidR="00FC013E" w:rsidRPr="00FC013E" w:rsidRDefault="00FC013E" w:rsidP="00FC013E">
      <w:pPr>
        <w:spacing w:after="113" w:line="276" w:lineRule="auto"/>
        <w:jc w:val="both"/>
        <w:rPr>
          <w:rFonts w:ascii="Arial" w:hAnsi="Arial" w:cs="Arial"/>
          <w:bCs/>
          <w:iCs/>
        </w:rPr>
      </w:pPr>
      <w:r w:rsidRPr="00FC013E">
        <w:rPr>
          <w:rFonts w:ascii="Arial" w:hAnsi="Arial" w:cs="Arial"/>
          <w:bCs/>
          <w:iCs/>
        </w:rPr>
        <w:t>3.4.1.4 - O recebimento provisório ou definitivo não excluirá a responsabilidade civil pela solidez e pela segurança do serviço nem a responsabilidade ético-profissional pela perfeita execução do contrato.</w:t>
      </w:r>
    </w:p>
    <w:p w14:paraId="57172C7F" w14:textId="77777777" w:rsidR="007B0D84" w:rsidRPr="009872FB"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A73737">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4F633474" w14:textId="613DFDBF" w:rsidR="007E7BBF" w:rsidRPr="00473CF9" w:rsidRDefault="00C634F1"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A73737">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1A1F50" w:rsidRDefault="00147B9F"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
          <w:color w:val="000000" w:themeColor="text1"/>
        </w:rPr>
      </w:pPr>
      <w:r w:rsidRPr="001A1F50">
        <w:rPr>
          <w:rFonts w:ascii="Arial" w:hAnsi="Arial" w:cs="Arial"/>
          <w:bCs/>
          <w:i/>
          <w:color w:val="000000" w:themeColor="text1"/>
        </w:rPr>
        <w:t>O valor total da contratação é de R$.......... (.....)</w:t>
      </w:r>
    </w:p>
    <w:p w14:paraId="19E0CAC1" w14:textId="3066B963" w:rsidR="001D32DF" w:rsidRDefault="001D32DF"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872F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1A1F50" w:rsidRDefault="00147B9F"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
          <w:color w:val="000000" w:themeColor="text1"/>
        </w:rPr>
      </w:pPr>
      <w:r w:rsidRPr="001A1F50">
        <w:rPr>
          <w:rFonts w:ascii="Arial" w:hAnsi="Arial" w:cs="Arial"/>
          <w:bCs/>
          <w:i/>
          <w:color w:val="000000" w:themeColor="text1"/>
        </w:rPr>
        <w:t>O valor acima é meramente estimativo, de forma que os pagamentos devidos ao contratado dependerão dos quantitativos efetivamente fornecidos.</w:t>
      </w:r>
    </w:p>
    <w:p w14:paraId="5459A90B" w14:textId="77777777" w:rsidR="0097688D"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BE4E9F" w:rsidRDefault="00BE4E9F" w:rsidP="00A73737">
      <w:pPr>
        <w:pStyle w:val="PargrafodaLista"/>
        <w:numPr>
          <w:ilvl w:val="0"/>
          <w:numId w:val="15"/>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39A006D8" w14:textId="0FC54034" w:rsidR="0058607B" w:rsidRPr="005644B8" w:rsidRDefault="0058607B" w:rsidP="00A73737">
      <w:pPr>
        <w:pStyle w:val="PargrafodaLista"/>
        <w:numPr>
          <w:ilvl w:val="1"/>
          <w:numId w:val="15"/>
        </w:numPr>
        <w:spacing w:line="360" w:lineRule="auto"/>
        <w:ind w:left="0" w:firstLine="0"/>
        <w:jc w:val="both"/>
        <w:rPr>
          <w:rFonts w:ascii="Arial" w:hAnsi="Arial" w:cs="Arial"/>
          <w:bCs/>
          <w:iCs/>
        </w:rPr>
      </w:pPr>
      <w:r w:rsidRPr="005644B8">
        <w:rPr>
          <w:rFonts w:ascii="Arial" w:hAnsi="Arial" w:cs="Arial"/>
          <w:bCs/>
          <w:iCs/>
        </w:rPr>
        <w:t>- A liquidação será realizada pela Secretaria Municipal de Finanças, Planejamento, Desenvolvimento Econômico e Gestão, a partir do cumprimento das obrigações dispostas neste Termo de Referência, em observância ao Decreto n.º 2.493, de 07 de novembro de 2023.</w:t>
      </w:r>
    </w:p>
    <w:p w14:paraId="4B335DD7" w14:textId="19FF7939" w:rsidR="0058607B" w:rsidRPr="005644B8" w:rsidRDefault="0058607B" w:rsidP="00A73737">
      <w:pPr>
        <w:pStyle w:val="PargrafodaLista"/>
        <w:numPr>
          <w:ilvl w:val="1"/>
          <w:numId w:val="15"/>
        </w:numPr>
        <w:spacing w:line="360" w:lineRule="auto"/>
        <w:ind w:left="0" w:firstLine="0"/>
        <w:jc w:val="both"/>
        <w:rPr>
          <w:rFonts w:ascii="Arial" w:hAnsi="Arial" w:cs="Arial"/>
          <w:bCs/>
          <w:iCs/>
        </w:rPr>
      </w:pPr>
      <w:r w:rsidRPr="005644B8">
        <w:rPr>
          <w:rFonts w:ascii="Arial" w:hAnsi="Arial" w:cs="Arial"/>
          <w:bCs/>
          <w:iCs/>
        </w:rPr>
        <w:t>- O pagamento será efetuado conforme estabelece o Decreto n.º 2.493, de 07 de novembro de 2023, desde que as Certidões listadas abaixo estejam dentro da validade.</w:t>
      </w:r>
    </w:p>
    <w:p w14:paraId="0CA3E4FD" w14:textId="6D083A7D" w:rsidR="0058607B" w:rsidRPr="005644B8" w:rsidRDefault="005644B8" w:rsidP="00A73737">
      <w:pPr>
        <w:pStyle w:val="PargrafodaLista"/>
        <w:numPr>
          <w:ilvl w:val="2"/>
          <w:numId w:val="15"/>
        </w:numPr>
        <w:spacing w:line="360" w:lineRule="auto"/>
        <w:ind w:left="0" w:firstLine="0"/>
        <w:jc w:val="both"/>
        <w:rPr>
          <w:rFonts w:ascii="Arial" w:hAnsi="Arial" w:cs="Arial"/>
          <w:bCs/>
          <w:iCs/>
        </w:rPr>
      </w:pPr>
      <w:r w:rsidRPr="005644B8">
        <w:rPr>
          <w:rFonts w:ascii="Arial" w:hAnsi="Arial" w:cs="Arial"/>
          <w:bCs/>
          <w:iCs/>
        </w:rPr>
        <w:t xml:space="preserve">- </w:t>
      </w:r>
      <w:r w:rsidR="0058607B" w:rsidRPr="005644B8">
        <w:rPr>
          <w:rFonts w:ascii="Arial" w:hAnsi="Arial" w:cs="Arial"/>
          <w:bCs/>
          <w:iCs/>
        </w:rPr>
        <w:t>Negativa de Débitos Trabalhistas;</w:t>
      </w:r>
    </w:p>
    <w:p w14:paraId="06947643" w14:textId="1F210A17" w:rsidR="0058607B" w:rsidRPr="005644B8" w:rsidRDefault="005644B8" w:rsidP="00A73737">
      <w:pPr>
        <w:pStyle w:val="PargrafodaLista"/>
        <w:numPr>
          <w:ilvl w:val="2"/>
          <w:numId w:val="15"/>
        </w:numPr>
        <w:spacing w:after="113" w:line="276" w:lineRule="auto"/>
        <w:ind w:left="0" w:firstLine="0"/>
        <w:jc w:val="both"/>
        <w:rPr>
          <w:rFonts w:ascii="Arial" w:hAnsi="Arial" w:cs="Arial"/>
          <w:bCs/>
          <w:iCs/>
        </w:rPr>
      </w:pPr>
      <w:r w:rsidRPr="005644B8">
        <w:rPr>
          <w:rFonts w:ascii="Arial" w:hAnsi="Arial" w:cs="Arial"/>
          <w:bCs/>
          <w:iCs/>
        </w:rPr>
        <w:t xml:space="preserve">- </w:t>
      </w:r>
      <w:r w:rsidR="0058607B" w:rsidRPr="005644B8">
        <w:rPr>
          <w:rFonts w:ascii="Arial" w:hAnsi="Arial" w:cs="Arial"/>
          <w:bCs/>
          <w:iCs/>
        </w:rPr>
        <w:t>Fazenda Federal- abrangem as Contribuições Sociais;</w:t>
      </w:r>
    </w:p>
    <w:p w14:paraId="08898C3C" w14:textId="77B08256" w:rsidR="0058607B" w:rsidRPr="005644B8" w:rsidRDefault="005644B8" w:rsidP="00A73737">
      <w:pPr>
        <w:pStyle w:val="PargrafodaLista"/>
        <w:numPr>
          <w:ilvl w:val="2"/>
          <w:numId w:val="15"/>
        </w:numPr>
        <w:spacing w:after="113" w:line="276" w:lineRule="auto"/>
        <w:ind w:left="0" w:firstLine="0"/>
        <w:jc w:val="both"/>
        <w:rPr>
          <w:rFonts w:ascii="Arial" w:hAnsi="Arial" w:cs="Arial"/>
          <w:bCs/>
          <w:iCs/>
        </w:rPr>
      </w:pPr>
      <w:r w:rsidRPr="005644B8">
        <w:rPr>
          <w:rFonts w:ascii="Arial" w:hAnsi="Arial" w:cs="Arial"/>
          <w:bCs/>
          <w:iCs/>
        </w:rPr>
        <w:t xml:space="preserve">- </w:t>
      </w:r>
      <w:r w:rsidR="0058607B" w:rsidRPr="005644B8">
        <w:rPr>
          <w:rFonts w:ascii="Arial" w:hAnsi="Arial" w:cs="Arial"/>
          <w:bCs/>
          <w:iCs/>
        </w:rPr>
        <w:t>FGTS; PGE- Referente Dívida Ativa Estadual;</w:t>
      </w:r>
    </w:p>
    <w:p w14:paraId="1FD58D80" w14:textId="18519444" w:rsidR="0058607B" w:rsidRPr="005644B8" w:rsidRDefault="005644B8" w:rsidP="00A73737">
      <w:pPr>
        <w:pStyle w:val="PargrafodaLista"/>
        <w:numPr>
          <w:ilvl w:val="2"/>
          <w:numId w:val="15"/>
        </w:numPr>
        <w:spacing w:after="113" w:line="276" w:lineRule="auto"/>
        <w:ind w:left="0" w:firstLine="0"/>
        <w:jc w:val="both"/>
        <w:rPr>
          <w:rFonts w:ascii="Arial" w:hAnsi="Arial" w:cs="Arial"/>
          <w:bCs/>
          <w:iCs/>
        </w:rPr>
      </w:pPr>
      <w:r w:rsidRPr="005644B8">
        <w:rPr>
          <w:rFonts w:ascii="Arial" w:hAnsi="Arial" w:cs="Arial"/>
          <w:bCs/>
          <w:iCs/>
        </w:rPr>
        <w:lastRenderedPageBreak/>
        <w:t xml:space="preserve">- </w:t>
      </w:r>
      <w:r w:rsidR="0058607B" w:rsidRPr="005644B8">
        <w:rPr>
          <w:rFonts w:ascii="Arial" w:hAnsi="Arial" w:cs="Arial"/>
          <w:bCs/>
          <w:iCs/>
        </w:rPr>
        <w:t>Municipal- referente ao ISS e Dívida Ativa;</w:t>
      </w:r>
    </w:p>
    <w:p w14:paraId="5EA227B6" w14:textId="0B3AF73F" w:rsidR="0058607B" w:rsidRPr="005644B8" w:rsidRDefault="005644B8" w:rsidP="00A73737">
      <w:pPr>
        <w:pStyle w:val="PargrafodaLista"/>
        <w:numPr>
          <w:ilvl w:val="2"/>
          <w:numId w:val="15"/>
        </w:numPr>
        <w:spacing w:after="113" w:line="276" w:lineRule="auto"/>
        <w:ind w:left="0" w:firstLine="0"/>
        <w:jc w:val="both"/>
        <w:rPr>
          <w:rFonts w:ascii="Arial" w:hAnsi="Arial" w:cs="Arial"/>
          <w:bCs/>
          <w:iCs/>
        </w:rPr>
      </w:pPr>
      <w:r w:rsidRPr="005644B8">
        <w:rPr>
          <w:rFonts w:ascii="Arial" w:hAnsi="Arial" w:cs="Arial"/>
          <w:bCs/>
          <w:iCs/>
        </w:rPr>
        <w:t xml:space="preserve">- </w:t>
      </w:r>
      <w:r w:rsidR="0058607B" w:rsidRPr="005644B8">
        <w:rPr>
          <w:rFonts w:ascii="Arial" w:hAnsi="Arial" w:cs="Arial"/>
          <w:bCs/>
          <w:iCs/>
        </w:rPr>
        <w:t>Estadual -CND- referente ao ICMS.</w:t>
      </w:r>
    </w:p>
    <w:p w14:paraId="0E4E9E94" w14:textId="1C96C27F" w:rsidR="0058607B" w:rsidRPr="005644B8" w:rsidRDefault="005644B8" w:rsidP="00A73737">
      <w:pPr>
        <w:pStyle w:val="PargrafodaLista"/>
        <w:numPr>
          <w:ilvl w:val="1"/>
          <w:numId w:val="15"/>
        </w:numPr>
        <w:spacing w:after="113" w:line="276" w:lineRule="auto"/>
        <w:ind w:left="0" w:firstLine="0"/>
        <w:jc w:val="both"/>
        <w:rPr>
          <w:rFonts w:ascii="Arial" w:hAnsi="Arial" w:cs="Arial"/>
          <w:bCs/>
          <w:iCs/>
        </w:rPr>
      </w:pPr>
      <w:r w:rsidRPr="005644B8">
        <w:rPr>
          <w:rFonts w:ascii="Arial" w:hAnsi="Arial" w:cs="Arial"/>
          <w:bCs/>
          <w:iCs/>
        </w:rPr>
        <w:t xml:space="preserve">- </w:t>
      </w:r>
      <w:r w:rsidR="0058607B" w:rsidRPr="005644B8">
        <w:rPr>
          <w:rFonts w:ascii="Arial" w:hAnsi="Arial" w:cs="Arial"/>
          <w:bCs/>
          <w:iCs/>
        </w:rPr>
        <w:t>A Nota Fiscal deverá conter a identificação do Banco, número da agência e Conta-Corrente, para que possibilite o CONTRATANTE efetuar o pagamento do valor devido;</w:t>
      </w:r>
    </w:p>
    <w:p w14:paraId="792654F3" w14:textId="2AB5A0A5" w:rsidR="0058607B" w:rsidRPr="005644B8" w:rsidRDefault="005644B8" w:rsidP="00A73737">
      <w:pPr>
        <w:pStyle w:val="PargrafodaLista"/>
        <w:numPr>
          <w:ilvl w:val="1"/>
          <w:numId w:val="15"/>
        </w:numPr>
        <w:spacing w:after="113" w:line="276" w:lineRule="auto"/>
        <w:ind w:left="0" w:firstLine="0"/>
        <w:jc w:val="both"/>
        <w:rPr>
          <w:rFonts w:ascii="Arial" w:hAnsi="Arial" w:cs="Arial"/>
          <w:bCs/>
          <w:iCs/>
        </w:rPr>
      </w:pPr>
      <w:r w:rsidRPr="005644B8">
        <w:rPr>
          <w:rFonts w:ascii="Arial" w:hAnsi="Arial" w:cs="Arial"/>
          <w:bCs/>
          <w:iCs/>
        </w:rPr>
        <w:t xml:space="preserve">- </w:t>
      </w:r>
      <w:r w:rsidR="0058607B" w:rsidRPr="005644B8">
        <w:rPr>
          <w:rFonts w:ascii="Arial" w:hAnsi="Arial" w:cs="Arial"/>
          <w:bCs/>
          <w:iCs/>
        </w:rPr>
        <w:t>Na ocorrência de rejeição da(s) Nota(s) Fiscal(s), motivada por erro ou incorreções, o prazo para pagamento estipulado acima passará a ser contado a partir da data de sua reapresentação.</w:t>
      </w:r>
    </w:p>
    <w:p w14:paraId="4357BEEB" w14:textId="189CCBA2" w:rsidR="00BE4E9F" w:rsidRPr="00147B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7688D" w:rsidRDefault="0097688D" w:rsidP="00A7373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4396A513"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
          <w:color w:val="FF0000"/>
        </w:rPr>
      </w:pPr>
      <w:r w:rsidRPr="0097688D">
        <w:rPr>
          <w:rFonts w:ascii="Arial" w:hAnsi="Arial" w:cs="Arial"/>
          <w:bCs/>
          <w:iCs/>
        </w:rPr>
        <w:t>Os preços inicialmente contratados são fixos e irreajustáveis no prazo de um ano contado da data do orçamento estimado, em</w:t>
      </w:r>
      <w:r w:rsidR="00473CF9">
        <w:rPr>
          <w:rFonts w:ascii="Arial" w:hAnsi="Arial" w:cs="Arial"/>
          <w:bCs/>
          <w:iCs/>
        </w:rPr>
        <w:t xml:space="preserve"> 30/11/2023</w:t>
      </w:r>
      <w:r w:rsidRPr="0097688D">
        <w:rPr>
          <w:rFonts w:ascii="Arial" w:hAnsi="Arial" w:cs="Arial"/>
          <w:bCs/>
          <w:i/>
          <w:color w:val="FF0000"/>
        </w:rPr>
        <w:t>.</w:t>
      </w:r>
    </w:p>
    <w:p w14:paraId="70569D4F" w14:textId="46033915" w:rsid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Após o interregno de um ano, e independentemente de pedido 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A7373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Receber o objeto no prazo e condições estabelecidas no Termo de Referência;</w:t>
      </w:r>
    </w:p>
    <w:p w14:paraId="6F0A9D77"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prazo </w:t>
      </w:r>
      <w:r w:rsidRPr="001A1F50">
        <w:rPr>
          <w:rFonts w:ascii="Arial" w:hAnsi="Arial" w:cs="Arial"/>
          <w:bCs/>
          <w:iCs/>
          <w:color w:val="000000" w:themeColor="text1"/>
          <w:lang w:val="pt-BR"/>
        </w:rPr>
        <w:t xml:space="preserve">de </w:t>
      </w:r>
      <w:r w:rsidRPr="001A1F50">
        <w:rPr>
          <w:rFonts w:ascii="Arial" w:hAnsi="Arial" w:cs="Arial"/>
          <w:bCs/>
          <w:iCs/>
          <w:color w:val="000000" w:themeColor="text1"/>
        </w:rPr>
        <w:t>1 (um) mês</w:t>
      </w:r>
      <w:r w:rsidRPr="001A1F50">
        <w:rPr>
          <w:rFonts w:ascii="Arial" w:hAnsi="Arial" w:cs="Arial"/>
          <w:bCs/>
          <w:iCs/>
          <w:color w:val="000000" w:themeColor="text1"/>
          <w:lang w:val="pt-BR"/>
        </w:rPr>
        <w:t xml:space="preserve">, a </w:t>
      </w:r>
      <w:r w:rsidRPr="00A27B94">
        <w:rPr>
          <w:rFonts w:ascii="Arial" w:hAnsi="Arial" w:cs="Arial"/>
          <w:bCs/>
          <w:iCs/>
          <w:lang w:val="pt-BR"/>
        </w:rPr>
        <w:t xml:space="preserve">contar da data do protocolo do requerimento para decidir, admitida a prorrogação motivada, por igual período. </w:t>
      </w:r>
    </w:p>
    <w:p w14:paraId="5F21FBC5" w14:textId="2BF7760D" w:rsidR="00A27B94" w:rsidRPr="001A1F50"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color w:val="000000" w:themeColor="text1"/>
          <w:lang w:val="pt-BR"/>
        </w:rPr>
      </w:pPr>
      <w:r w:rsidRPr="00A27B94">
        <w:rPr>
          <w:rFonts w:ascii="Arial" w:hAnsi="Arial" w:cs="Arial"/>
          <w:bCs/>
          <w:iCs/>
          <w:lang w:val="pt-BR"/>
        </w:rPr>
        <w:t xml:space="preserve">Responder eventuais pedidos de reestabelecimento do equilíbrio econômico-financeiro feitos pelo contratado no prazo máximo </w:t>
      </w:r>
      <w:r w:rsidRPr="001A1F50">
        <w:rPr>
          <w:rFonts w:ascii="Arial" w:hAnsi="Arial" w:cs="Arial"/>
          <w:bCs/>
          <w:iCs/>
          <w:color w:val="000000" w:themeColor="text1"/>
          <w:lang w:val="pt-BR"/>
        </w:rPr>
        <w:t xml:space="preserve">de </w:t>
      </w:r>
      <w:r w:rsidRPr="001A1F50">
        <w:rPr>
          <w:rFonts w:ascii="Arial" w:hAnsi="Arial" w:cs="Arial"/>
          <w:bCs/>
          <w:iCs/>
          <w:color w:val="000000" w:themeColor="text1"/>
        </w:rPr>
        <w:t>1 (um) mês</w:t>
      </w:r>
      <w:r w:rsidRPr="001A1F50">
        <w:rPr>
          <w:rFonts w:ascii="Arial" w:hAnsi="Arial" w:cs="Arial"/>
          <w:bCs/>
          <w:iCs/>
          <w:color w:val="000000" w:themeColor="text1"/>
          <w:lang w:val="pt-BR"/>
        </w:rPr>
        <w:t>.</w:t>
      </w:r>
    </w:p>
    <w:p w14:paraId="15218468" w14:textId="77777777" w:rsidR="00EA6E3C" w:rsidRPr="00EA6E3C" w:rsidRDefault="00EA6E3C"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1"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A7373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2"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77777777" w:rsidR="008743A2" w:rsidRPr="00DC6FCA" w:rsidRDefault="008743A2" w:rsidP="00A7373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6F2CE3FC" w:rsidR="003A3482" w:rsidRDefault="003A3482" w:rsidP="00A7373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lastRenderedPageBreak/>
        <w:t xml:space="preserve"> </w:t>
      </w:r>
      <w:r w:rsidRPr="003A3482">
        <w:rPr>
          <w:rFonts w:ascii="Arial" w:eastAsiaTheme="majorEastAsia" w:hAnsi="Arial" w:cs="Arial"/>
          <w:b/>
          <w:bCs/>
          <w:lang w:val="pt-BR" w:eastAsia="pt-BR"/>
        </w:rPr>
        <w:t>CLÁUSULA DÉCIMA</w:t>
      </w:r>
      <w:r w:rsidR="00473CF9">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1773ABF2" w:rsidR="009C02ED" w:rsidRDefault="009C02ED" w:rsidP="00A7373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473CF9">
        <w:rPr>
          <w:rFonts w:ascii="Arial" w:eastAsiaTheme="majorEastAsia" w:hAnsi="Arial" w:cs="Arial"/>
          <w:b/>
          <w:bCs/>
          <w:lang w:val="pt-BR" w:eastAsia="pt-BR"/>
        </w:rPr>
        <w:t>PRIMEIR</w:t>
      </w:r>
      <w:r w:rsidR="00B37399">
        <w:rPr>
          <w:rFonts w:ascii="Arial" w:eastAsiaTheme="majorEastAsia" w:hAnsi="Arial" w:cs="Arial"/>
          <w:b/>
          <w:bCs/>
          <w:lang w:val="pt-BR" w:eastAsia="pt-BR"/>
        </w:rPr>
        <w:t>A</w:t>
      </w:r>
      <w:r w:rsidRPr="009C02ED">
        <w:rPr>
          <w:rFonts w:ascii="Arial" w:eastAsiaTheme="majorEastAsia" w:hAnsi="Arial" w:cs="Arial"/>
          <w:b/>
          <w:bCs/>
          <w:lang w:val="pt-BR" w:eastAsia="pt-BR"/>
        </w:rPr>
        <w:t xml:space="preserve"> – INFRAÇÕES E SANÇÕES ADMINISTRATIVAS (</w:t>
      </w:r>
      <w:hyperlink r:id="rId19"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0"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1"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A7373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2" w:anchor="art156§2" w:history="1">
        <w:r w:rsidRPr="00E04B75">
          <w:rPr>
            <w:rStyle w:val="Hyperlink"/>
            <w:rFonts w:ascii="Arial" w:eastAsia="Arial" w:hAnsi="Arial" w:cs="Arial"/>
          </w:rPr>
          <w:t xml:space="preserve">art. 156, §2º, da </w:t>
        </w:r>
        <w:bookmarkStart w:id="11" w:name="_Hlk114504069"/>
        <w:r w:rsidRPr="00E04B75">
          <w:rPr>
            <w:rStyle w:val="Hyperlink"/>
            <w:rFonts w:ascii="Arial" w:eastAsia="Arial" w:hAnsi="Arial" w:cs="Arial"/>
          </w:rPr>
          <w:t>Lei nº 14.133, de 2021</w:t>
        </w:r>
        <w:bookmarkEnd w:id="11"/>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lastRenderedPageBreak/>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pPr>
      <w:r w:rsidRPr="00E04B75">
        <w:t>A aplicação das sanções previstas neste Contrato não exclui, em hipótese alguma, a obrigação de reparação integral do dano causado ao Contratante (</w:t>
      </w:r>
      <w:hyperlink r:id="rId25" w:anchor="art156§9" w:history="1">
        <w:r w:rsidRPr="00E04B75">
          <w:rPr>
            <w:rStyle w:val="Hyperlink"/>
          </w:rPr>
          <w:t>art. 156, §9º, da Lei nº 14.133, de 2021</w:t>
        </w:r>
      </w:hyperlink>
      <w:r w:rsidRPr="00E04B75">
        <w:t>)</w:t>
      </w:r>
    </w:p>
    <w:p w14:paraId="4638A08C" w14:textId="77777777" w:rsidR="00370B10" w:rsidRPr="00E04B75" w:rsidRDefault="00370B10" w:rsidP="00A73737">
      <w:pPr>
        <w:pStyle w:val="PargrafodaLista"/>
        <w:widowControl/>
        <w:numPr>
          <w:ilvl w:val="2"/>
          <w:numId w:val="15"/>
        </w:numPr>
        <w:tabs>
          <w:tab w:val="left" w:pos="426"/>
        </w:tabs>
        <w:autoSpaceDE/>
        <w:autoSpaceDN/>
        <w:spacing w:before="120" w:after="120" w:line="276" w:lineRule="auto"/>
        <w:jc w:val="both"/>
      </w:pPr>
      <w:r w:rsidRPr="00E04B75">
        <w:t>Todas as sanções previstas neste Contrato poderão ser aplicadas cumulativamente com a multa (</w:t>
      </w:r>
      <w:hyperlink r:id="rId26" w:anchor="art156§7" w:history="1">
        <w:r w:rsidRPr="00E04B75">
          <w:rPr>
            <w:rStyle w:val="Hyperlink"/>
          </w:rPr>
          <w:t>art. 156, §7º, da Lei nº 14.133, de 2021</w:t>
        </w:r>
      </w:hyperlink>
      <w:r w:rsidRPr="00E04B75">
        <w:t>).</w:t>
      </w:r>
    </w:p>
    <w:p w14:paraId="05740197" w14:textId="77777777" w:rsidR="00370B10" w:rsidRPr="00E04B75" w:rsidRDefault="00370B10" w:rsidP="00A73737">
      <w:pPr>
        <w:pStyle w:val="PargrafodaLista"/>
        <w:widowControl/>
        <w:numPr>
          <w:ilvl w:val="2"/>
          <w:numId w:val="15"/>
        </w:numPr>
        <w:tabs>
          <w:tab w:val="left" w:pos="426"/>
        </w:tabs>
        <w:autoSpaceDE/>
        <w:autoSpaceDN/>
        <w:spacing w:before="120" w:after="120" w:line="276" w:lineRule="auto"/>
        <w:jc w:val="both"/>
      </w:pPr>
      <w:r w:rsidRPr="00E04B75">
        <w:t>Antes da aplicação da multa será facultada a defesa do interessado no prazo de 15 (quinze) dias úteis, contado da data de sua intimação (</w:t>
      </w:r>
      <w:hyperlink r:id="rId27" w:anchor="art157" w:history="1">
        <w:r w:rsidRPr="00E04B75">
          <w:rPr>
            <w:rStyle w:val="Hyperlink"/>
          </w:rPr>
          <w:t>art. 157, da Lei nº 14.133, de 2021</w:t>
        </w:r>
      </w:hyperlink>
      <w:r w:rsidRPr="00E04B75">
        <w:t>)</w:t>
      </w:r>
    </w:p>
    <w:p w14:paraId="4E6DB274" w14:textId="77777777" w:rsidR="00370B10" w:rsidRPr="00E04B75" w:rsidRDefault="00370B10" w:rsidP="00A73737">
      <w:pPr>
        <w:pStyle w:val="PargrafodaLista"/>
        <w:widowControl/>
        <w:numPr>
          <w:ilvl w:val="2"/>
          <w:numId w:val="15"/>
        </w:numPr>
        <w:tabs>
          <w:tab w:val="left" w:pos="426"/>
        </w:tabs>
        <w:autoSpaceDE/>
        <w:autoSpaceDN/>
        <w:spacing w:before="120" w:after="120" w:line="276" w:lineRule="auto"/>
        <w:jc w:val="both"/>
      </w:pPr>
      <w:r w:rsidRPr="00E04B75">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E04B75">
          <w:rPr>
            <w:rStyle w:val="Hyperlink"/>
          </w:rPr>
          <w:t>art. 156, §8º, da Lei nº 14.133, de 2021</w:t>
        </w:r>
      </w:hyperlink>
      <w:r w:rsidRPr="00E04B75">
        <w:t>).</w:t>
      </w:r>
    </w:p>
    <w:p w14:paraId="6163F99C" w14:textId="5D12D559" w:rsidR="00370B10" w:rsidRPr="004735E6" w:rsidRDefault="00370B10" w:rsidP="00A73737">
      <w:pPr>
        <w:pStyle w:val="PargrafodaLista"/>
        <w:widowControl/>
        <w:numPr>
          <w:ilvl w:val="2"/>
          <w:numId w:val="15"/>
        </w:numPr>
        <w:tabs>
          <w:tab w:val="left" w:pos="426"/>
        </w:tabs>
        <w:autoSpaceDE/>
        <w:autoSpaceDN/>
        <w:spacing w:before="120" w:after="120" w:line="276" w:lineRule="auto"/>
        <w:jc w:val="both"/>
      </w:pPr>
      <w:r w:rsidRPr="004735E6">
        <w:t xml:space="preserve">Previamente ao encaminhamento à cobrança judicial, a multa poderá ser recolhida administrativamente no prazo máximo de </w:t>
      </w:r>
      <w:r w:rsidR="00B42A6A" w:rsidRPr="004735E6">
        <w:rPr>
          <w:i/>
          <w:iCs/>
        </w:rPr>
        <w:t>30 (trinta)</w:t>
      </w:r>
      <w:r w:rsidRPr="004735E6">
        <w:rPr>
          <w:i/>
          <w:iCs/>
        </w:rPr>
        <w:t xml:space="preserve"> </w:t>
      </w:r>
      <w:r w:rsidRPr="004735E6">
        <w:t>dias, a contar da data do recebimento da comunicação enviada pela autoridade competente.</w:t>
      </w:r>
    </w:p>
    <w:p w14:paraId="536BBDF9"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pPr>
      <w:r w:rsidRPr="004735E6">
        <w:t xml:space="preserve">A aplicação das sanções realizar-se-á em processo administrativo que assegure o contraditório e a ampla defesa ao Contratado, observando-se o </w:t>
      </w:r>
      <w:r w:rsidRPr="00E04B75">
        <w:t xml:space="preserve">procedimento previsto no </w:t>
      </w:r>
      <w:r w:rsidRPr="00E04B75">
        <w:rPr>
          <w:b/>
          <w:bCs/>
        </w:rPr>
        <w:t xml:space="preserve">caput </w:t>
      </w:r>
      <w:r w:rsidRPr="00E04B75">
        <w:t xml:space="preserve">e parágrafos do </w:t>
      </w:r>
      <w:hyperlink r:id="rId29" w:anchor="art158" w:history="1">
        <w:r w:rsidRPr="00E04B75">
          <w:rPr>
            <w:rStyle w:val="Hyperlink"/>
          </w:rPr>
          <w:t>art. 158 da Lei nº 14.133, de 2021</w:t>
        </w:r>
      </w:hyperlink>
      <w:r w:rsidRPr="00E04B75">
        <w:t>, para as penalidades de impedimento de licitar e contratar e de declaração de inidoneidade para licitar ou contratar.</w:t>
      </w:r>
    </w:p>
    <w:p w14:paraId="6763CD4D"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pPr>
      <w:r w:rsidRPr="00E04B75">
        <w:t>Na aplicação das sanções serão considerados (</w:t>
      </w:r>
      <w:hyperlink r:id="rId30"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pPr>
      <w:r w:rsidRPr="00E04B75">
        <w:t xml:space="preserve">Os atos previstos como infrações administrativas na </w:t>
      </w:r>
      <w:hyperlink r:id="rId31" w:history="1">
        <w:r w:rsidRPr="00E04B75">
          <w:rPr>
            <w:rStyle w:val="Hyperlink"/>
          </w:rPr>
          <w:t>Lei nº 14.133, de 2021</w:t>
        </w:r>
      </w:hyperlink>
      <w:r w:rsidRPr="00E04B75">
        <w:t xml:space="preserve">, ou em outras leis de licitações e contratos da Administração Pública que também sejam tipificados como atos lesivos na </w:t>
      </w:r>
      <w:hyperlink r:id="rId32" w:history="1">
        <w:r w:rsidRPr="00E04B75">
          <w:rPr>
            <w:rStyle w:val="Hyperlink"/>
          </w:rPr>
          <w:t>Lei nº 12.846, de 2013</w:t>
        </w:r>
      </w:hyperlink>
      <w:r w:rsidRPr="00E04B75">
        <w:t>, serão apurados e julgados conjuntamente, nos mesmos autos, observados o rito procedimental e autoridade competente definidos na referida Lei (</w:t>
      </w:r>
      <w:hyperlink r:id="rId33" w:history="1">
        <w:r w:rsidRPr="00E04B75">
          <w:rPr>
            <w:rStyle w:val="Hyperlink"/>
          </w:rPr>
          <w:t>art. 159</w:t>
        </w:r>
      </w:hyperlink>
      <w:r w:rsidRPr="00E04B75">
        <w:t>).</w:t>
      </w:r>
    </w:p>
    <w:p w14:paraId="070FC42A"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rPr>
          <w:i/>
          <w:iCs/>
        </w:rPr>
      </w:pPr>
      <w:r w:rsidRPr="00E04B7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E04B75">
          <w:rPr>
            <w:rStyle w:val="Hyperlink"/>
          </w:rPr>
          <w:t>art. 160, da Lei nº 14.133, de 2021</w:t>
        </w:r>
      </w:hyperlink>
      <w:r w:rsidRPr="00E04B75">
        <w:t>).</w:t>
      </w:r>
    </w:p>
    <w:p w14:paraId="02E53A4E"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rPr>
          <w:i/>
          <w:iCs/>
        </w:rPr>
      </w:pPr>
      <w:r w:rsidRPr="00E04B75">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E04B75">
          <w:rPr>
            <w:rStyle w:val="Hyperlink"/>
          </w:rPr>
          <w:t>Art. 161, da Lei nº 14.133, de 2021</w:t>
        </w:r>
      </w:hyperlink>
      <w:r w:rsidRPr="00E04B75">
        <w:t>).</w:t>
      </w:r>
    </w:p>
    <w:p w14:paraId="2EFA7AE8"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rPr>
          <w:i/>
          <w:iCs/>
        </w:rPr>
      </w:pPr>
      <w:r w:rsidRPr="00E04B75">
        <w:t xml:space="preserve">As sanções de impedimento de licitar e contratar e declaração de inidoneidade para licitar ou contratar são passíveis de reabilitação na forma do </w:t>
      </w:r>
      <w:hyperlink r:id="rId36" w:anchor="163" w:history="1">
        <w:r w:rsidRPr="00E04B75">
          <w:rPr>
            <w:rStyle w:val="Hyperlink"/>
          </w:rPr>
          <w:t>art. 163 da Lei nº 14.133/21</w:t>
        </w:r>
      </w:hyperlink>
      <w:r w:rsidRPr="00E04B75">
        <w:t>.</w:t>
      </w:r>
    </w:p>
    <w:p w14:paraId="5A49F571" w14:textId="77777777" w:rsidR="00370B10" w:rsidRPr="00E04B75" w:rsidRDefault="00370B10" w:rsidP="00A73737">
      <w:pPr>
        <w:pStyle w:val="PargrafodaLista"/>
        <w:widowControl/>
        <w:numPr>
          <w:ilvl w:val="1"/>
          <w:numId w:val="15"/>
        </w:numPr>
        <w:tabs>
          <w:tab w:val="left" w:pos="426"/>
        </w:tabs>
        <w:autoSpaceDE/>
        <w:autoSpaceDN/>
        <w:spacing w:before="120" w:after="120" w:line="276" w:lineRule="auto"/>
        <w:ind w:left="0" w:firstLine="0"/>
        <w:jc w:val="both"/>
      </w:pPr>
      <w:r w:rsidRPr="00E04B75">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E04B75">
          <w:rPr>
            <w:rStyle w:val="Hyperlink"/>
          </w:rPr>
          <w:t>Normativa SEGES/ME nº 26, de 13 de abril de 2022</w:t>
        </w:r>
      </w:hyperlink>
      <w:r w:rsidRPr="00E04B75">
        <w:t xml:space="preserve">. </w:t>
      </w:r>
    </w:p>
    <w:p w14:paraId="5ACB71AD" w14:textId="66B26997" w:rsidR="003444FD" w:rsidRDefault="00055A35" w:rsidP="00A73737">
      <w:pPr>
        <w:pStyle w:val="Nivel01"/>
        <w:numPr>
          <w:ilvl w:val="0"/>
          <w:numId w:val="15"/>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 xml:space="preserve">CLÁUSULA DÉCIMA </w:t>
      </w:r>
      <w:r w:rsidR="00473CF9">
        <w:rPr>
          <w:rFonts w:ascii="Arial" w:hAnsi="Arial" w:cs="Arial"/>
          <w:sz w:val="22"/>
          <w:szCs w:val="22"/>
        </w:rPr>
        <w:t>SEGUND</w:t>
      </w:r>
      <w:r w:rsidR="003444FD" w:rsidRPr="003444FD">
        <w:rPr>
          <w:rFonts w:ascii="Arial" w:hAnsi="Arial" w:cs="Arial"/>
          <w:sz w:val="22"/>
          <w:szCs w:val="22"/>
        </w:rPr>
        <w:t>A – DA EXTINÇÃO CONTRATUAL</w:t>
      </w:r>
      <w:r w:rsidR="003444FD" w:rsidRPr="003444FD">
        <w:rPr>
          <w:rFonts w:ascii="Arial" w:hAnsi="Arial" w:cs="Arial"/>
        </w:rPr>
        <w:t xml:space="preserve"> (</w:t>
      </w:r>
      <w:hyperlink r:id="rId38"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7053E4B" w14:textId="77777777" w:rsidR="003444FD" w:rsidRPr="00ED1360" w:rsidRDefault="003444FD" w:rsidP="00A73737">
      <w:pPr>
        <w:pStyle w:val="PargrafodaLista"/>
        <w:widowControl/>
        <w:numPr>
          <w:ilvl w:val="1"/>
          <w:numId w:val="15"/>
        </w:numPr>
        <w:tabs>
          <w:tab w:val="left" w:pos="426"/>
        </w:tabs>
        <w:autoSpaceDE/>
        <w:autoSpaceDN/>
        <w:spacing w:before="120" w:after="120" w:line="276" w:lineRule="auto"/>
        <w:ind w:left="0" w:firstLine="0"/>
        <w:jc w:val="both"/>
      </w:pPr>
      <w:r w:rsidRPr="00ED1360">
        <w:t xml:space="preserve">O contrato poderá ser extinto antes de cumpridas as obrigações nele estipuladas, ou antes do prazo nele fixado, por algum dos motivos previstos no </w:t>
      </w:r>
      <w:hyperlink r:id="rId39" w:anchor="art137" w:history="1">
        <w:r w:rsidRPr="00ED1360">
          <w:rPr>
            <w:rStyle w:val="Hyperlink"/>
          </w:rPr>
          <w:t>artigo 137 da Lei nº 14.133/21</w:t>
        </w:r>
      </w:hyperlink>
      <w:r w:rsidRPr="00ED1360">
        <w:t xml:space="preserve">, bem como amigavelmente, </w:t>
      </w:r>
      <w:r w:rsidRPr="00ED1360">
        <w:rPr>
          <w:color w:val="000000" w:themeColor="text1"/>
        </w:rPr>
        <w:t>assegurados o contraditório e a ampla defesa</w:t>
      </w:r>
      <w:r w:rsidRPr="00ED1360">
        <w:t>.</w:t>
      </w:r>
    </w:p>
    <w:p w14:paraId="4F33BC54" w14:textId="6B0083D9" w:rsidR="003444FD" w:rsidRPr="00ED1360" w:rsidRDefault="00ED1360" w:rsidP="00A73737">
      <w:pPr>
        <w:pStyle w:val="PargrafodaLista"/>
        <w:widowControl/>
        <w:numPr>
          <w:ilvl w:val="2"/>
          <w:numId w:val="15"/>
        </w:numPr>
        <w:tabs>
          <w:tab w:val="left" w:pos="426"/>
        </w:tabs>
        <w:autoSpaceDE/>
        <w:autoSpaceDN/>
        <w:spacing w:before="120" w:after="120" w:line="276" w:lineRule="auto"/>
        <w:jc w:val="both"/>
      </w:pPr>
      <w:r w:rsidRPr="00ED1360">
        <w:t xml:space="preserve">  </w:t>
      </w:r>
      <w:r w:rsidR="003444FD" w:rsidRPr="00ED1360">
        <w:t xml:space="preserve">Nesta hipótese, aplicam-se também os </w:t>
      </w:r>
      <w:hyperlink r:id="rId40" w:anchor="art138" w:history="1">
        <w:r w:rsidR="003444FD" w:rsidRPr="00ED1360">
          <w:rPr>
            <w:rStyle w:val="Hyperlink"/>
          </w:rPr>
          <w:t>artigos 138 e 139</w:t>
        </w:r>
      </w:hyperlink>
      <w:r w:rsidR="003444FD" w:rsidRPr="00ED1360">
        <w:t xml:space="preserve"> da mesma Lei.</w:t>
      </w:r>
    </w:p>
    <w:p w14:paraId="0ECCD0BD" w14:textId="467966F7" w:rsidR="003444FD" w:rsidRPr="00ED1360" w:rsidRDefault="003444FD" w:rsidP="00A73737">
      <w:pPr>
        <w:pStyle w:val="PargrafodaLista"/>
        <w:widowControl/>
        <w:numPr>
          <w:ilvl w:val="2"/>
          <w:numId w:val="15"/>
        </w:numPr>
        <w:tabs>
          <w:tab w:val="left" w:pos="426"/>
        </w:tabs>
        <w:autoSpaceDE/>
        <w:autoSpaceDN/>
        <w:spacing w:before="120" w:after="120" w:line="276" w:lineRule="auto"/>
        <w:ind w:left="993" w:hanging="851"/>
        <w:jc w:val="both"/>
      </w:pPr>
      <w:r w:rsidRPr="00ED1360">
        <w:t>A alteração social ou a modificação da finalidade ou da estrutura da empresa não ensejará a extinção se não restringir sua capacidade de concluir o contrato.</w:t>
      </w:r>
    </w:p>
    <w:p w14:paraId="62709D8D" w14:textId="77777777" w:rsidR="003444FD" w:rsidRPr="00ED1360" w:rsidRDefault="003444FD" w:rsidP="00A73737">
      <w:pPr>
        <w:pStyle w:val="PargrafodaLista"/>
        <w:widowControl/>
        <w:numPr>
          <w:ilvl w:val="3"/>
          <w:numId w:val="15"/>
        </w:numPr>
        <w:tabs>
          <w:tab w:val="left" w:pos="426"/>
        </w:tabs>
        <w:autoSpaceDE/>
        <w:autoSpaceDN/>
        <w:spacing w:before="120" w:after="120" w:line="276" w:lineRule="auto"/>
        <w:jc w:val="both"/>
      </w:pPr>
      <w:r w:rsidRPr="00ED1360">
        <w:rPr>
          <w:color w:val="000000" w:themeColor="text1"/>
        </w:rPr>
        <w:t xml:space="preserve">Se a </w:t>
      </w:r>
      <w:r w:rsidRPr="00ED1360">
        <w:t>operação</w:t>
      </w:r>
      <w:r w:rsidRPr="00ED1360">
        <w:rPr>
          <w:color w:val="000000" w:themeColor="text1"/>
        </w:rPr>
        <w:t xml:space="preserve"> </w:t>
      </w:r>
      <w:r w:rsidRPr="00ED1360">
        <w:t>implicar mudança da pessoa jurídica contratada, deverá ser formalizado termo aditivo para alteração subjetiva.</w:t>
      </w:r>
    </w:p>
    <w:p w14:paraId="15592196" w14:textId="77777777" w:rsidR="003444FD" w:rsidRPr="00ED1360" w:rsidRDefault="003444FD" w:rsidP="00A73737">
      <w:pPr>
        <w:pStyle w:val="PargrafodaLista"/>
        <w:widowControl/>
        <w:numPr>
          <w:ilvl w:val="1"/>
          <w:numId w:val="15"/>
        </w:numPr>
        <w:tabs>
          <w:tab w:val="left" w:pos="426"/>
        </w:tabs>
        <w:autoSpaceDE/>
        <w:autoSpaceDN/>
        <w:spacing w:before="120" w:after="120" w:line="276" w:lineRule="auto"/>
        <w:ind w:left="0" w:firstLine="0"/>
        <w:jc w:val="both"/>
      </w:pPr>
      <w:r w:rsidRPr="00ED1360">
        <w:t>O termo de extinção, sempre que possível, será precedido:</w:t>
      </w:r>
    </w:p>
    <w:p w14:paraId="176A3888" w14:textId="77777777" w:rsidR="003444FD" w:rsidRPr="00ED1360" w:rsidRDefault="003444FD" w:rsidP="00A73737">
      <w:pPr>
        <w:pStyle w:val="PargrafodaLista"/>
        <w:widowControl/>
        <w:numPr>
          <w:ilvl w:val="2"/>
          <w:numId w:val="15"/>
        </w:numPr>
        <w:tabs>
          <w:tab w:val="left" w:pos="426"/>
        </w:tabs>
        <w:autoSpaceDE/>
        <w:autoSpaceDN/>
        <w:spacing w:before="120" w:after="120" w:line="276" w:lineRule="auto"/>
        <w:ind w:left="993" w:hanging="851"/>
        <w:jc w:val="both"/>
      </w:pPr>
      <w:r w:rsidRPr="00ED1360">
        <w:t>Balanço dos eventos contratuais já cumpridos ou parcialmente cumpridos;</w:t>
      </w:r>
    </w:p>
    <w:p w14:paraId="6107865B" w14:textId="77777777" w:rsidR="003444FD" w:rsidRPr="00ED1360" w:rsidRDefault="003444FD" w:rsidP="00A73737">
      <w:pPr>
        <w:pStyle w:val="PargrafodaLista"/>
        <w:widowControl/>
        <w:numPr>
          <w:ilvl w:val="2"/>
          <w:numId w:val="15"/>
        </w:numPr>
        <w:tabs>
          <w:tab w:val="left" w:pos="426"/>
        </w:tabs>
        <w:autoSpaceDE/>
        <w:autoSpaceDN/>
        <w:spacing w:before="120" w:after="120" w:line="276" w:lineRule="auto"/>
        <w:ind w:left="993" w:hanging="851"/>
        <w:jc w:val="both"/>
      </w:pPr>
      <w:r w:rsidRPr="00ED1360">
        <w:t>Relação dos pagamentos já efetuados e ainda devidos;</w:t>
      </w:r>
    </w:p>
    <w:p w14:paraId="78BA3FCD" w14:textId="77777777" w:rsidR="003444FD" w:rsidRPr="00ED1360" w:rsidRDefault="003444FD" w:rsidP="00A73737">
      <w:pPr>
        <w:pStyle w:val="PargrafodaLista"/>
        <w:widowControl/>
        <w:numPr>
          <w:ilvl w:val="2"/>
          <w:numId w:val="15"/>
        </w:numPr>
        <w:tabs>
          <w:tab w:val="left" w:pos="426"/>
        </w:tabs>
        <w:autoSpaceDE/>
        <w:autoSpaceDN/>
        <w:spacing w:before="120" w:after="120" w:line="276" w:lineRule="auto"/>
        <w:ind w:left="993" w:hanging="851"/>
        <w:jc w:val="both"/>
      </w:pPr>
      <w:r w:rsidRPr="00ED1360">
        <w:t>Indenizações e multas.</w:t>
      </w:r>
    </w:p>
    <w:p w14:paraId="1C2E8726" w14:textId="77777777" w:rsidR="003444FD" w:rsidRPr="00ED1360" w:rsidRDefault="003444FD" w:rsidP="00A73737">
      <w:pPr>
        <w:pStyle w:val="PargrafodaLista"/>
        <w:widowControl/>
        <w:numPr>
          <w:ilvl w:val="1"/>
          <w:numId w:val="15"/>
        </w:numPr>
        <w:tabs>
          <w:tab w:val="left" w:pos="426"/>
        </w:tabs>
        <w:autoSpaceDE/>
        <w:autoSpaceDN/>
        <w:spacing w:before="120" w:after="120" w:line="276" w:lineRule="auto"/>
        <w:ind w:left="0" w:firstLine="0"/>
        <w:jc w:val="both"/>
      </w:pPr>
      <w:r w:rsidRPr="00ED1360">
        <w:t>A extinção do contrato não configura óbice para o reconhecimento do desequilíbrio econômico-financeiro, hipótese em que será concedida indenização por meio de termo indenizatório (</w:t>
      </w:r>
      <w:hyperlink r:id="rId41"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Default="003444FD" w:rsidP="00A73737">
      <w:pPr>
        <w:pStyle w:val="PargrafodaLista"/>
        <w:widowControl/>
        <w:numPr>
          <w:ilvl w:val="1"/>
          <w:numId w:val="15"/>
        </w:numPr>
        <w:tabs>
          <w:tab w:val="left" w:pos="426"/>
        </w:tabs>
        <w:autoSpaceDE/>
        <w:autoSpaceDN/>
        <w:spacing w:before="120" w:after="120" w:line="276" w:lineRule="auto"/>
        <w:ind w:left="0" w:firstLine="0"/>
        <w:jc w:val="both"/>
      </w:pPr>
      <w:r w:rsidRPr="00ED1360">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D39845E" w:rsidR="002E43FD" w:rsidRDefault="002E43FD" w:rsidP="00A73737">
      <w:pPr>
        <w:pStyle w:val="Nivel01"/>
        <w:numPr>
          <w:ilvl w:val="0"/>
          <w:numId w:val="15"/>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w:t>
      </w:r>
      <w:r w:rsidR="00473CF9">
        <w:rPr>
          <w:rFonts w:ascii="Arial" w:hAnsi="Arial" w:cs="Arial"/>
          <w:sz w:val="22"/>
          <w:szCs w:val="22"/>
        </w:rPr>
        <w:t>TERCEIRA</w:t>
      </w:r>
      <w:r w:rsidRPr="002E43FD">
        <w:rPr>
          <w:rFonts w:ascii="Arial" w:hAnsi="Arial" w:cs="Arial"/>
          <w:sz w:val="22"/>
          <w:szCs w:val="22"/>
        </w:rPr>
        <w:t xml:space="preserve"> – DOTAÇÃO ORÇAMENTÁRIA</w:t>
      </w:r>
      <w:r w:rsidRPr="002E43FD">
        <w:t xml:space="preserve"> </w:t>
      </w:r>
      <w:r w:rsidRPr="002E43FD">
        <w:rPr>
          <w:sz w:val="22"/>
          <w:szCs w:val="22"/>
        </w:rPr>
        <w:t>(</w:t>
      </w:r>
      <w:hyperlink r:id="rId42" w:anchor="art92" w:history="1">
        <w:r w:rsidRPr="002E43FD">
          <w:rPr>
            <w:rStyle w:val="Hyperlink"/>
            <w:sz w:val="22"/>
            <w:szCs w:val="22"/>
          </w:rPr>
          <w:t>art. 92, VIII</w:t>
        </w:r>
      </w:hyperlink>
      <w:r w:rsidRPr="002E43FD">
        <w:rPr>
          <w:sz w:val="22"/>
          <w:szCs w:val="22"/>
        </w:rPr>
        <w:t>)</w:t>
      </w:r>
    </w:p>
    <w:p w14:paraId="32E217AE" w14:textId="1344E77C" w:rsidR="002E43FD" w:rsidRDefault="002E43FD" w:rsidP="00A73737">
      <w:pPr>
        <w:pStyle w:val="PargrafodaLista"/>
        <w:numPr>
          <w:ilvl w:val="1"/>
          <w:numId w:val="15"/>
        </w:numPr>
        <w:tabs>
          <w:tab w:val="left" w:pos="426"/>
        </w:tabs>
        <w:ind w:left="0" w:firstLine="0"/>
        <w:jc w:val="both"/>
        <w:rPr>
          <w:lang w:val="pt-BR"/>
        </w:rPr>
      </w:pPr>
      <w:r w:rsidRPr="002E43FD">
        <w:rPr>
          <w:lang w:val="pt-BR"/>
        </w:rPr>
        <w:t>As despesas decorrentes da presente contratação correrão à conta de recursos específicos consignados no Orçamento Geral da União deste exercício, na dotação abaixo discriminada:</w:t>
      </w:r>
    </w:p>
    <w:p w14:paraId="55712D9A" w14:textId="77777777" w:rsidR="00ED3979" w:rsidRPr="002E43FD" w:rsidRDefault="00ED3979" w:rsidP="00ED3979">
      <w:pPr>
        <w:pStyle w:val="PargrafodaLista"/>
        <w:tabs>
          <w:tab w:val="left" w:pos="426"/>
        </w:tabs>
        <w:ind w:left="0"/>
        <w:jc w:val="both"/>
        <w:rPr>
          <w:lang w:val="pt-BR"/>
        </w:rPr>
      </w:pPr>
    </w:p>
    <w:p w14:paraId="12FB322B" w14:textId="77777777" w:rsidR="00473CF9" w:rsidRPr="001A1F50" w:rsidRDefault="00473CF9" w:rsidP="00473CF9">
      <w:pPr>
        <w:spacing w:after="113" w:line="276" w:lineRule="auto"/>
        <w:jc w:val="both"/>
      </w:pPr>
      <w:r w:rsidRPr="001A1F50">
        <w:rPr>
          <w:rFonts w:cs="Calibri"/>
          <w:b/>
          <w:bCs/>
        </w:rPr>
        <w:t>Gestão/Unidade:</w:t>
      </w:r>
      <w:r w:rsidRPr="001A1F50">
        <w:rPr>
          <w:rFonts w:cs="Calibri"/>
        </w:rPr>
        <w:t xml:space="preserve"> Secretaria Municipal de Turismo e Marketing da Cidade e Secretaria Municipal de Cultura;</w:t>
      </w:r>
    </w:p>
    <w:p w14:paraId="49C0576A" w14:textId="77777777" w:rsidR="00473CF9" w:rsidRPr="001A1F50" w:rsidRDefault="00473CF9" w:rsidP="00473CF9">
      <w:pPr>
        <w:spacing w:after="113" w:line="276" w:lineRule="auto"/>
        <w:jc w:val="both"/>
      </w:pPr>
      <w:r w:rsidRPr="001A1F50">
        <w:rPr>
          <w:rFonts w:cs="Calibri"/>
          <w:b/>
          <w:bCs/>
        </w:rPr>
        <w:t>Fonte de Recursos:</w:t>
      </w:r>
      <w:r w:rsidRPr="001A1F50">
        <w:rPr>
          <w:rFonts w:cs="Calibri"/>
        </w:rPr>
        <w:t xml:space="preserve"> </w:t>
      </w:r>
      <w:r w:rsidRPr="001A1F50">
        <w:rPr>
          <w:rFonts w:cstheme="minorHAnsi"/>
        </w:rPr>
        <w:t>1500 e 1501</w:t>
      </w:r>
      <w:r w:rsidRPr="001A1F50">
        <w:rPr>
          <w:rFonts w:cs="Calibri"/>
        </w:rPr>
        <w:t>;</w:t>
      </w:r>
    </w:p>
    <w:p w14:paraId="72E65565" w14:textId="77777777" w:rsidR="00473CF9" w:rsidRPr="001A1F50" w:rsidRDefault="00473CF9" w:rsidP="00473CF9">
      <w:pPr>
        <w:spacing w:after="113" w:line="276" w:lineRule="auto"/>
        <w:jc w:val="both"/>
        <w:rPr>
          <w:rFonts w:cs="Calibri"/>
        </w:rPr>
      </w:pPr>
      <w:r w:rsidRPr="001A1F50">
        <w:rPr>
          <w:rFonts w:cs="Calibri"/>
          <w:b/>
          <w:bCs/>
        </w:rPr>
        <w:t xml:space="preserve">Programa de Trabalho: </w:t>
      </w:r>
      <w:r w:rsidRPr="001A1F50">
        <w:rPr>
          <w:rFonts w:cs="Calibri"/>
        </w:rPr>
        <w:t>17.001.23.695.0036.2.327 e 18.001.13.392.0041.2.112;</w:t>
      </w:r>
    </w:p>
    <w:p w14:paraId="0967065F" w14:textId="71EF5791" w:rsidR="00473CF9" w:rsidRPr="001A1F50" w:rsidRDefault="00473CF9" w:rsidP="00473CF9">
      <w:pPr>
        <w:spacing w:after="113" w:line="276" w:lineRule="auto"/>
        <w:jc w:val="both"/>
        <w:rPr>
          <w:rFonts w:cs="Calibri"/>
        </w:rPr>
      </w:pPr>
      <w:r w:rsidRPr="001A1F50">
        <w:rPr>
          <w:rFonts w:cs="Calibri"/>
          <w:b/>
          <w:bCs/>
        </w:rPr>
        <w:t xml:space="preserve">Elemento de Despesa: </w:t>
      </w:r>
      <w:r w:rsidRPr="001A1F50">
        <w:rPr>
          <w:rFonts w:cs="Calibri"/>
        </w:rPr>
        <w:t>33.90.39, 3.3.90.39, 3.3.90.39 e 3.3.90.39</w:t>
      </w:r>
    </w:p>
    <w:p w14:paraId="05FF41BA" w14:textId="77777777" w:rsidR="00ED3979" w:rsidRDefault="00ED3979" w:rsidP="00473CF9">
      <w:pPr>
        <w:spacing w:after="113" w:line="276" w:lineRule="auto"/>
        <w:jc w:val="both"/>
        <w:rPr>
          <w:rFonts w:ascii="Calibri" w:hAnsi="Calibri"/>
        </w:rPr>
      </w:pPr>
    </w:p>
    <w:p w14:paraId="68A0A183" w14:textId="77777777" w:rsidR="002E43FD" w:rsidRPr="002E43FD" w:rsidRDefault="002E43FD" w:rsidP="00A73737">
      <w:pPr>
        <w:pStyle w:val="PargrafodaLista"/>
        <w:numPr>
          <w:ilvl w:val="1"/>
          <w:numId w:val="15"/>
        </w:numPr>
        <w:tabs>
          <w:tab w:val="left" w:pos="426"/>
        </w:tabs>
        <w:ind w:left="0" w:firstLine="0"/>
        <w:jc w:val="both"/>
        <w:rPr>
          <w:i/>
          <w:iCs/>
          <w:lang w:val="pt-BR"/>
        </w:rPr>
      </w:pPr>
      <w:r w:rsidRPr="002E43FD">
        <w:rPr>
          <w:lang w:val="pt-BR"/>
        </w:rPr>
        <w:t>A dotação relativa aos exercícios financeiros subsequentes será indicada após aprovação da Lei Orçamentária respectiva e liberação dos créditos correspondentes, mediante apostilamento</w:t>
      </w:r>
      <w:r w:rsidRPr="002E43FD">
        <w:rPr>
          <w:i/>
          <w:iCs/>
          <w:lang w:val="pt-BR"/>
        </w:rPr>
        <w:t>.</w:t>
      </w:r>
    </w:p>
    <w:p w14:paraId="120C7BB4" w14:textId="6BF7CB3F" w:rsidR="00D90EA5" w:rsidRDefault="00D90EA5" w:rsidP="00A73737">
      <w:pPr>
        <w:pStyle w:val="Nivel01"/>
        <w:numPr>
          <w:ilvl w:val="0"/>
          <w:numId w:val="15"/>
        </w:numPr>
        <w:tabs>
          <w:tab w:val="left" w:pos="284"/>
          <w:tab w:val="left" w:pos="993"/>
        </w:tabs>
        <w:spacing w:line="276" w:lineRule="auto"/>
        <w:ind w:left="0" w:firstLine="0"/>
        <w:rPr>
          <w:rFonts w:ascii="Arial" w:hAnsi="Arial" w:cs="Arial"/>
          <w:color w:val="FFFFFF" w:themeColor="background1"/>
        </w:rPr>
      </w:pPr>
      <w:r>
        <w:rPr>
          <w:rFonts w:ascii="Arial" w:hAnsi="Arial" w:cs="Arial"/>
          <w:sz w:val="22"/>
          <w:szCs w:val="22"/>
        </w:rPr>
        <w:t xml:space="preserve"> </w:t>
      </w:r>
      <w:r w:rsidRPr="00D90EA5">
        <w:rPr>
          <w:rFonts w:ascii="Arial" w:hAnsi="Arial" w:cs="Arial"/>
          <w:sz w:val="22"/>
          <w:szCs w:val="22"/>
        </w:rPr>
        <w:t xml:space="preserve">CLÁUSULA DÉCIMA </w:t>
      </w:r>
      <w:r w:rsidR="00ED3979">
        <w:rPr>
          <w:rFonts w:ascii="Arial" w:hAnsi="Arial" w:cs="Arial"/>
          <w:sz w:val="22"/>
          <w:szCs w:val="22"/>
        </w:rPr>
        <w:t>QUART</w:t>
      </w:r>
      <w:r w:rsidRPr="00D90EA5">
        <w:rPr>
          <w:rFonts w:ascii="Arial" w:hAnsi="Arial" w:cs="Arial"/>
          <w:sz w:val="22"/>
          <w:szCs w:val="22"/>
        </w:rPr>
        <w:t>A – ALTERAÇÕES</w:t>
      </w:r>
    </w:p>
    <w:p w14:paraId="03F2739F" w14:textId="77777777" w:rsidR="00D90EA5" w:rsidRDefault="00D90EA5" w:rsidP="00A73737">
      <w:pPr>
        <w:pStyle w:val="PargrafodaLista"/>
        <w:numPr>
          <w:ilvl w:val="1"/>
          <w:numId w:val="15"/>
        </w:numPr>
        <w:tabs>
          <w:tab w:val="left" w:pos="426"/>
        </w:tabs>
        <w:ind w:left="0" w:firstLine="0"/>
        <w:jc w:val="both"/>
        <w:rPr>
          <w:color w:val="000000"/>
        </w:rPr>
      </w:pPr>
      <w:r>
        <w:t xml:space="preserve">Eventuais alterações </w:t>
      </w:r>
      <w:r w:rsidRPr="00D90EA5">
        <w:rPr>
          <w:lang w:val="pt-BR"/>
        </w:rPr>
        <w:t>contratuais</w:t>
      </w:r>
      <w:r>
        <w:t xml:space="preserve"> reger-se-ão pela disciplina dos </w:t>
      </w:r>
      <w:hyperlink r:id="rId43" w:anchor="art124" w:history="1">
        <w:r>
          <w:rPr>
            <w:rStyle w:val="Hyperlink"/>
          </w:rPr>
          <w:t>arts. 124 e seguintes da Lei nº 14.133, de 2021</w:t>
        </w:r>
      </w:hyperlink>
      <w:r>
        <w:t>.</w:t>
      </w:r>
    </w:p>
    <w:p w14:paraId="074A5C54" w14:textId="77777777" w:rsidR="00D90EA5" w:rsidRDefault="00D90EA5" w:rsidP="00A73737">
      <w:pPr>
        <w:pStyle w:val="PargrafodaLista"/>
        <w:numPr>
          <w:ilvl w:val="1"/>
          <w:numId w:val="15"/>
        </w:numPr>
        <w:tabs>
          <w:tab w:val="left" w:pos="426"/>
        </w:tabs>
        <w:ind w:left="0" w:firstLine="0"/>
        <w:jc w:val="both"/>
      </w:pPr>
      <w:r>
        <w:t xml:space="preserve">O contratado é </w:t>
      </w:r>
      <w:r w:rsidRPr="00D90EA5">
        <w:rPr>
          <w:lang w:val="pt-BR"/>
        </w:rPr>
        <w:t>obrigado</w:t>
      </w:r>
      <w: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D90EA5" w:rsidRDefault="00D90EA5" w:rsidP="00A73737">
      <w:pPr>
        <w:pStyle w:val="PargrafodaLista"/>
        <w:numPr>
          <w:ilvl w:val="1"/>
          <w:numId w:val="15"/>
        </w:numPr>
        <w:tabs>
          <w:tab w:val="left" w:pos="426"/>
        </w:tabs>
        <w:ind w:left="0" w:firstLine="0"/>
        <w:jc w:val="both"/>
      </w:pPr>
      <w:r w:rsidRPr="00D90EA5">
        <w:t xml:space="preserve">As alterações contratuais deverão ser promovidas mediante celebração de termo aditivo, submetido à prévia aprovação da consultoria jurídica do contratante, salvo nos casos de justificada necessidade de </w:t>
      </w:r>
      <w:r w:rsidRPr="00D90EA5">
        <w:rPr>
          <w:lang w:val="pt-BR"/>
        </w:rPr>
        <w:t>antecipação</w:t>
      </w:r>
      <w:r w:rsidRPr="00D90EA5">
        <w:t xml:space="preserve"> de seus efeitos, hipótese em que a formalização do aditivo deverá ocorrer no prazo máximo de 1 (um) mês (art. 132 da Lei nº 14.133, de 2021).</w:t>
      </w:r>
    </w:p>
    <w:p w14:paraId="59A5E521" w14:textId="289F40E7" w:rsidR="002E43FD" w:rsidRPr="002E43FD" w:rsidRDefault="00D90EA5" w:rsidP="00A73737">
      <w:pPr>
        <w:pStyle w:val="PargrafodaLista"/>
        <w:widowControl/>
        <w:numPr>
          <w:ilvl w:val="1"/>
          <w:numId w:val="15"/>
        </w:numPr>
        <w:tabs>
          <w:tab w:val="left" w:pos="426"/>
        </w:tabs>
        <w:autoSpaceDE/>
        <w:autoSpaceDN/>
        <w:spacing w:before="120" w:after="120" w:line="276" w:lineRule="auto"/>
        <w:ind w:left="0" w:firstLine="0"/>
        <w:jc w:val="both"/>
      </w:pPr>
      <w:r w:rsidRPr="00D90EA5">
        <w:t xml:space="preserve">Registros que não caracterizam alteração do contrato podem ser realizados por simples apostila, dispensada a celebração de termo aditivo, na forma do </w:t>
      </w:r>
      <w:hyperlink r:id="rId44" w:anchor="art136" w:history="1">
        <w:r w:rsidRPr="00D90EA5">
          <w:rPr>
            <w:rStyle w:val="Hyperlink"/>
          </w:rPr>
          <w:t>art. 136 da Lei nº 14.133, de 2021</w:t>
        </w:r>
      </w:hyperlink>
      <w:r w:rsidRPr="00D90EA5">
        <w:t>.</w:t>
      </w:r>
    </w:p>
    <w:p w14:paraId="0217FC09" w14:textId="4206DA86" w:rsidR="00885E3B" w:rsidRPr="00E04B75" w:rsidRDefault="00885E3B" w:rsidP="00A73737">
      <w:pPr>
        <w:pStyle w:val="Nivel010"/>
        <w:numPr>
          <w:ilvl w:val="0"/>
          <w:numId w:val="15"/>
        </w:numPr>
        <w:rPr>
          <w:color w:val="FFFFFF" w:themeColor="background1"/>
          <w:sz w:val="22"/>
          <w:szCs w:val="22"/>
        </w:rPr>
      </w:pPr>
      <w:r w:rsidRPr="00E04B75">
        <w:rPr>
          <w:sz w:val="22"/>
          <w:szCs w:val="22"/>
        </w:rPr>
        <w:t xml:space="preserve">CLÁUSULA DÉCIMA </w:t>
      </w:r>
      <w:r w:rsidR="00ED3979">
        <w:rPr>
          <w:sz w:val="22"/>
          <w:szCs w:val="22"/>
        </w:rPr>
        <w:t>QUINTA</w:t>
      </w:r>
      <w:r w:rsidRPr="00E04B75">
        <w:rPr>
          <w:sz w:val="22"/>
          <w:szCs w:val="22"/>
        </w:rPr>
        <w:t xml:space="preserve"> – PUBLICAÇÃO</w:t>
      </w:r>
    </w:p>
    <w:p w14:paraId="6D2C9166" w14:textId="77777777" w:rsidR="00885E3B" w:rsidRPr="00C80C6C" w:rsidRDefault="00885E3B" w:rsidP="00A73737">
      <w:pPr>
        <w:pStyle w:val="PargrafodaLista"/>
        <w:numPr>
          <w:ilvl w:val="1"/>
          <w:numId w:val="15"/>
        </w:numPr>
        <w:tabs>
          <w:tab w:val="left" w:pos="426"/>
        </w:tabs>
        <w:ind w:left="0" w:firstLine="0"/>
        <w:jc w:val="both"/>
      </w:pPr>
      <w:r w:rsidRPr="00E04B75">
        <w:t xml:space="preserve">Incumbirá ao contratante divulgar o presente instrumento no Portal </w:t>
      </w:r>
      <w:r w:rsidRPr="00C80C6C">
        <w:t xml:space="preserve">Nacional de Contratações Públicas (PNCP), na forma prevista no </w:t>
      </w:r>
      <w:hyperlink r:id="rId45" w:anchor="art94" w:history="1">
        <w:r w:rsidRPr="00C80C6C">
          <w:rPr>
            <w:rStyle w:val="Hyperlink"/>
          </w:rPr>
          <w:t>art. 94 da Lei 14.133, de 2021</w:t>
        </w:r>
      </w:hyperlink>
      <w:r w:rsidRPr="00C80C6C">
        <w:t xml:space="preserve">, bem como no respectivo sítio oficial na Internet, em atenção ao art. 91, </w:t>
      </w:r>
      <w:r w:rsidRPr="00C80C6C">
        <w:rPr>
          <w:i/>
        </w:rPr>
        <w:t>caput,</w:t>
      </w:r>
      <w:r w:rsidRPr="00C80C6C">
        <w:t xml:space="preserve"> da Lei n.º 14.133, de 2021, e ao </w:t>
      </w:r>
      <w:hyperlink r:id="rId46" w:anchor="art8§2" w:history="1">
        <w:r w:rsidRPr="00C80C6C">
          <w:rPr>
            <w:rStyle w:val="Hyperlink"/>
          </w:rPr>
          <w:t>art. 8º, §2º, da Lei n. 12.527, de 2011</w:t>
        </w:r>
      </w:hyperlink>
      <w:r w:rsidRPr="00C80C6C">
        <w:t xml:space="preserve">, c/c </w:t>
      </w:r>
      <w:hyperlink r:id="rId47" w:anchor="art7§3" w:history="1">
        <w:r w:rsidRPr="00C80C6C">
          <w:rPr>
            <w:rStyle w:val="Hyperlink"/>
          </w:rPr>
          <w:t>art. 7º, §3º, inciso V, do Decreto n. 7.724, de 2012</w:t>
        </w:r>
      </w:hyperlink>
      <w:r w:rsidRPr="00C80C6C">
        <w:t>.</w:t>
      </w:r>
    </w:p>
    <w:p w14:paraId="431F5E12" w14:textId="5F5EE22C" w:rsidR="00885E3B" w:rsidRPr="00C80C6C" w:rsidRDefault="000F2826" w:rsidP="00A73737">
      <w:pPr>
        <w:pStyle w:val="Nivel010"/>
        <w:numPr>
          <w:ilvl w:val="0"/>
          <w:numId w:val="15"/>
        </w:numPr>
        <w:rPr>
          <w:sz w:val="22"/>
          <w:szCs w:val="22"/>
        </w:rPr>
      </w:pPr>
      <w:r w:rsidRPr="00C80C6C">
        <w:rPr>
          <w:sz w:val="22"/>
          <w:szCs w:val="22"/>
        </w:rPr>
        <w:t xml:space="preserve">- </w:t>
      </w:r>
      <w:r w:rsidR="00885E3B" w:rsidRPr="00C80C6C">
        <w:rPr>
          <w:sz w:val="22"/>
          <w:szCs w:val="22"/>
        </w:rPr>
        <w:t>CLÁUSULA DÉCIMA S</w:t>
      </w:r>
      <w:r w:rsidR="00ED3979">
        <w:rPr>
          <w:sz w:val="22"/>
          <w:szCs w:val="22"/>
        </w:rPr>
        <w:t>EXT</w:t>
      </w:r>
      <w:r w:rsidR="00885E3B" w:rsidRPr="00C80C6C">
        <w:rPr>
          <w:sz w:val="22"/>
          <w:szCs w:val="22"/>
        </w:rPr>
        <w:t>A– FORO (</w:t>
      </w:r>
      <w:hyperlink r:id="rId48"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A73737">
      <w:pPr>
        <w:pStyle w:val="PargrafodaLista"/>
        <w:numPr>
          <w:ilvl w:val="1"/>
          <w:numId w:val="15"/>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4A054268" w:rsidR="001D32DF" w:rsidRPr="001A1F50" w:rsidRDefault="001D32DF" w:rsidP="00A73737">
      <w:pPr>
        <w:pStyle w:val="PargrafodaLista"/>
        <w:numPr>
          <w:ilvl w:val="1"/>
          <w:numId w:val="15"/>
        </w:numPr>
        <w:tabs>
          <w:tab w:val="left" w:pos="426"/>
        </w:tabs>
        <w:ind w:left="0" w:firstLine="0"/>
        <w:jc w:val="both"/>
        <w:rPr>
          <w:rFonts w:ascii="Arial" w:hAnsi="Arial" w:cs="Arial"/>
          <w:color w:val="000000" w:themeColor="text1"/>
        </w:rPr>
      </w:pPr>
      <w:r w:rsidRPr="00C80C6C">
        <w:rPr>
          <w:rFonts w:ascii="Arial" w:hAnsi="Arial" w:cs="Arial"/>
        </w:rPr>
        <w:t xml:space="preserve">Para firmeza e </w:t>
      </w:r>
      <w:r w:rsidRPr="00C80C6C">
        <w:t>validade</w:t>
      </w:r>
      <w:r w:rsidRPr="00C80C6C">
        <w:rPr>
          <w:rFonts w:ascii="Arial" w:hAnsi="Arial" w:cs="Arial"/>
        </w:rPr>
        <w:t xml:space="preserve"> do pactuado, o presente Termo de</w:t>
      </w:r>
      <w:r w:rsidRPr="009872FB">
        <w:rPr>
          <w:rFonts w:ascii="Arial" w:hAnsi="Arial" w:cs="Arial"/>
        </w:rPr>
        <w:t xml:space="preserve"> Contrato foi </w:t>
      </w:r>
      <w:r w:rsidRPr="001A1F50">
        <w:rPr>
          <w:rFonts w:ascii="Arial" w:hAnsi="Arial" w:cs="Arial"/>
          <w:color w:val="000000" w:themeColor="text1"/>
        </w:rPr>
        <w:t xml:space="preserve">lavrado em </w:t>
      </w:r>
      <w:r w:rsidR="00466BF6" w:rsidRPr="001A1F50">
        <w:rPr>
          <w:rFonts w:ascii="Arial" w:hAnsi="Arial" w:cs="Arial"/>
          <w:color w:val="000000" w:themeColor="text1"/>
        </w:rPr>
        <w:t>03</w:t>
      </w:r>
      <w:r w:rsidRPr="001A1F50">
        <w:rPr>
          <w:rFonts w:ascii="Arial" w:hAnsi="Arial" w:cs="Arial"/>
          <w:color w:val="000000" w:themeColor="text1"/>
        </w:rPr>
        <w:t xml:space="preserve"> (</w:t>
      </w:r>
      <w:r w:rsidR="00466BF6" w:rsidRPr="001A1F50">
        <w:rPr>
          <w:rFonts w:ascii="Arial" w:hAnsi="Arial" w:cs="Arial"/>
          <w:color w:val="000000" w:themeColor="text1"/>
        </w:rPr>
        <w:t>três</w:t>
      </w:r>
      <w:r w:rsidRPr="001A1F50">
        <w:rPr>
          <w:rFonts w:ascii="Arial" w:hAnsi="Arial" w:cs="Arial"/>
          <w:color w:val="000000" w:themeColor="text1"/>
        </w:rPr>
        <w:t xml:space="preserve">) vias de igual teor, que, depois de lido e achado em ordem, vai assinado pelos contraentes. </w:t>
      </w:r>
    </w:p>
    <w:p w14:paraId="01908919" w14:textId="5989EA5B"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FC013E">
        <w:rPr>
          <w:rFonts w:ascii="Arial" w:hAnsi="Arial" w:cs="Arial"/>
        </w:rPr>
        <w:t>24.</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0DC6E6A2" w:rsidR="001D32DF" w:rsidRDefault="001D32DF" w:rsidP="001D32DF">
      <w:pPr>
        <w:spacing w:after="120"/>
        <w:jc w:val="center"/>
        <w:rPr>
          <w:rFonts w:ascii="Arial" w:hAnsi="Arial" w:cs="Arial"/>
          <w:bCs/>
        </w:rPr>
      </w:pPr>
      <w:r w:rsidRPr="009872FB">
        <w:rPr>
          <w:rFonts w:ascii="Arial" w:hAnsi="Arial" w:cs="Arial"/>
          <w:bCs/>
        </w:rPr>
        <w:t>Responsável legal da CONTRATANTE</w:t>
      </w:r>
    </w:p>
    <w:p w14:paraId="228A7F57" w14:textId="77777777" w:rsidR="00FC013E" w:rsidRPr="009872FB" w:rsidRDefault="00FC013E" w:rsidP="001D32DF">
      <w:pPr>
        <w:spacing w:after="120"/>
        <w:jc w:val="center"/>
        <w:rPr>
          <w:rFonts w:ascii="Arial" w:hAnsi="Arial" w:cs="Arial"/>
          <w:bCs/>
        </w:rPr>
      </w:pP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102AB38A" w14:textId="77777777" w:rsidR="00A75B6C" w:rsidRPr="009872FB" w:rsidRDefault="00A75B6C" w:rsidP="001F44F7">
      <w:pPr>
        <w:spacing w:after="120"/>
        <w:jc w:val="both"/>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14BAF018" w14:textId="62998974" w:rsidR="0055035E" w:rsidRDefault="0055035E" w:rsidP="001F44F7">
      <w:pPr>
        <w:spacing w:after="120"/>
        <w:jc w:val="both"/>
        <w:rPr>
          <w:rFonts w:ascii="Arial" w:hAnsi="Arial" w:cs="Arial"/>
        </w:rPr>
      </w:pPr>
    </w:p>
    <w:p w14:paraId="373B24F2" w14:textId="450FB9E8" w:rsidR="0055035E" w:rsidRDefault="0055035E" w:rsidP="001F44F7">
      <w:pPr>
        <w:spacing w:after="120"/>
        <w:jc w:val="both"/>
        <w:rPr>
          <w:rFonts w:ascii="Arial" w:hAnsi="Arial" w:cs="Arial"/>
        </w:rPr>
      </w:pPr>
      <w:r>
        <w:rPr>
          <w:rFonts w:ascii="Arial" w:hAnsi="Arial" w:cs="Arial"/>
        </w:rPr>
        <w:t>1-</w:t>
      </w:r>
    </w:p>
    <w:p w14:paraId="075BC99C" w14:textId="67520E5B" w:rsidR="0055035E" w:rsidRDefault="0055035E" w:rsidP="001F44F7">
      <w:pPr>
        <w:spacing w:after="120"/>
        <w:jc w:val="both"/>
        <w:rPr>
          <w:rFonts w:ascii="Arial" w:hAnsi="Arial" w:cs="Arial"/>
        </w:rPr>
      </w:pPr>
    </w:p>
    <w:p w14:paraId="51FDAB19" w14:textId="0FBFFB97" w:rsidR="0055035E" w:rsidRDefault="0055035E" w:rsidP="001F44F7">
      <w:pPr>
        <w:spacing w:after="120"/>
        <w:jc w:val="both"/>
        <w:rPr>
          <w:rFonts w:ascii="Arial" w:hAnsi="Arial" w:cs="Arial"/>
        </w:rPr>
      </w:pPr>
      <w:r>
        <w:rPr>
          <w:rFonts w:ascii="Arial" w:hAnsi="Arial" w:cs="Arial"/>
        </w:rPr>
        <w:t>2-</w:t>
      </w:r>
    </w:p>
    <w:p w14:paraId="532382A8" w14:textId="77777777" w:rsidR="0055035E" w:rsidRPr="009872FB" w:rsidRDefault="0055035E" w:rsidP="001F44F7">
      <w:pPr>
        <w:spacing w:after="120"/>
        <w:jc w:val="both"/>
        <w:rPr>
          <w:rFonts w:ascii="Arial" w:hAnsi="Arial" w:cs="Arial"/>
        </w:rPr>
      </w:pPr>
    </w:p>
    <w:sectPr w:rsidR="0055035E" w:rsidRPr="009872FB" w:rsidSect="009F2F85">
      <w:headerReference w:type="even" r:id="rId49"/>
      <w:headerReference w:type="default" r:id="rId50"/>
      <w:footerReference w:type="even" r:id="rId51"/>
      <w:footerReference w:type="default" r:id="rId52"/>
      <w:headerReference w:type="first" r:id="rId53"/>
      <w:footerReference w:type="first" r:id="rId54"/>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34340" w14:textId="77777777" w:rsidR="004B1898" w:rsidRDefault="004B1898">
      <w:r>
        <w:separator/>
      </w:r>
    </w:p>
  </w:endnote>
  <w:endnote w:type="continuationSeparator" w:id="0">
    <w:p w14:paraId="26974E6E" w14:textId="77777777" w:rsidR="004B1898" w:rsidRDefault="004B1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1"/>
    <w:family w:val="auto"/>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CAA0" w14:textId="77777777" w:rsidR="005A0ED5" w:rsidRDefault="005A0ED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F252246"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5A0ED5" w:rsidRPr="00026257">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F0D72" w14:textId="77777777" w:rsidR="005A0ED5" w:rsidRDefault="005A0ED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B65A5" w14:textId="77777777" w:rsidR="004B1898" w:rsidRDefault="004B1898">
      <w:r>
        <w:separator/>
      </w:r>
    </w:p>
  </w:footnote>
  <w:footnote w:type="continuationSeparator" w:id="0">
    <w:p w14:paraId="185A5D1C" w14:textId="77777777" w:rsidR="004B1898" w:rsidRDefault="004B1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0C228" w14:textId="77777777" w:rsidR="005A0ED5" w:rsidRDefault="005A0ED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3193" w14:textId="3D59622E" w:rsidR="008743A2" w:rsidRDefault="00ED5F45" w:rsidP="00BB408F">
    <w:pPr>
      <w:pStyle w:val="Ttulo8"/>
      <w:pBdr>
        <w:bottom w:val="single" w:sz="4" w:space="1" w:color="auto"/>
      </w:pBdr>
      <w:tabs>
        <w:tab w:val="left" w:pos="1488"/>
        <w:tab w:val="left" w:pos="10912"/>
      </w:tabs>
    </w:pPr>
    <w:r w:rsidRPr="00ED5F45">
      <w:rPr>
        <w:rFonts w:ascii="Tahoma" w:hAnsi="Tahoma" w:cs="Tahoma"/>
        <w:i w:val="0"/>
        <w:iCs w:val="0"/>
        <w:noProof/>
        <w:szCs w:val="20"/>
        <w:lang w:eastAsia="zh-CN"/>
      </w:rPr>
      <w:drawing>
        <wp:inline distT="0" distB="0" distL="0" distR="0" wp14:anchorId="73A381F8" wp14:editId="31D7C2D0">
          <wp:extent cx="3533775" cy="6762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3775" cy="676275"/>
                  </a:xfrm>
                  <a:prstGeom prst="rect">
                    <a:avLst/>
                  </a:prstGeom>
                  <a:noFill/>
                  <a:ln>
                    <a:noFill/>
                  </a:ln>
                </pic:spPr>
              </pic:pic>
            </a:graphicData>
          </a:graphic>
        </wp:inline>
      </w:drawing>
    </w:r>
    <w:r w:rsidR="008743A2">
      <w:rPr>
        <w:noProof/>
      </w:rPr>
      <mc:AlternateContent>
        <mc:Choice Requires="wps">
          <w:drawing>
            <wp:anchor distT="0" distB="0" distL="114300" distR="114300" simplePos="0" relativeHeight="251659264" behindDoc="0" locked="0" layoutInCell="1" allowOverlap="1" wp14:anchorId="4E029BD2" wp14:editId="5520B0A3">
              <wp:simplePos x="0" y="0"/>
              <wp:positionH relativeFrom="column">
                <wp:posOffset>4532394</wp:posOffset>
              </wp:positionH>
              <wp:positionV relativeFrom="paragraph">
                <wp:posOffset>22240</wp:posOffset>
              </wp:positionV>
              <wp:extent cx="1932305" cy="614503"/>
              <wp:effectExtent l="0" t="0" r="10795" b="1460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headEnd/>
                        <a:tailEnd/>
                      </a:ln>
                    </wps:spPr>
                    <wps:txbx>
                      <w:txbxContent>
                        <w:p w14:paraId="39116E31" w14:textId="0FFB1082"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ED5F45">
                            <w:rPr>
                              <w:rFonts w:ascii="Arial" w:hAnsi="Arial" w:cs="Arial"/>
                              <w:sz w:val="20"/>
                              <w:szCs w:val="20"/>
                            </w:rPr>
                            <w:t>22.400/2023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029BD2" id="_x0000_t202" coordsize="21600,21600" o:spt="202" path="m,l,21600r21600,l21600,xe">
              <v:stroke joinstyle="miter"/>
              <v:path gradientshapeok="t" o:connecttype="rect"/>
            </v:shapetype>
            <v:shape id="Caixa de texto 6" o:spid="_x0000_s1026" type="#_x0000_t202" style="position:absolute;margin-left:356.9pt;margin-top:1.75pt;width:152.1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">
              <v:textbox>
                <w:txbxContent>
                  <w:p w14:paraId="39116E31" w14:textId="0FFB1082"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ED5F45">
                      <w:rPr>
                        <w:rFonts w:ascii="Arial" w:hAnsi="Arial" w:cs="Arial"/>
                        <w:sz w:val="20"/>
                        <w:szCs w:val="20"/>
                      </w:rPr>
                      <w:t>22.400/2023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v:textbox>
            </v:shape>
          </w:pict>
        </mc:Fallback>
      </mc:AlternateContent>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E061" w14:textId="77777777" w:rsidR="005A0ED5" w:rsidRDefault="005A0ED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0C964FE0"/>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000000" w:themeColor="text1"/>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32477"/>
    <w:multiLevelType w:val="multilevel"/>
    <w:tmpl w:val="23000F98"/>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2B41230D"/>
    <w:multiLevelType w:val="multilevel"/>
    <w:tmpl w:val="E07EC77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b/>
        <w:bCs w:val="0"/>
        <w:i w:val="0"/>
        <w:iCs/>
        <w:color w:val="auto"/>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CF7F3F"/>
    <w:multiLevelType w:val="multilevel"/>
    <w:tmpl w:val="C6FA0B8C"/>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92E2E1A"/>
    <w:multiLevelType w:val="multilevel"/>
    <w:tmpl w:val="A3F0D118"/>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4A9751F6"/>
    <w:multiLevelType w:val="multilevel"/>
    <w:tmpl w:val="3F868408"/>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70106283"/>
    <w:multiLevelType w:val="multilevel"/>
    <w:tmpl w:val="61381D56"/>
    <w:lvl w:ilvl="0">
      <w:start w:val="3"/>
      <w:numFmt w:val="decimal"/>
      <w:lvlText w:val="%1."/>
      <w:lvlJc w:val="left"/>
      <w:pPr>
        <w:ind w:left="510" w:hanging="510"/>
      </w:pPr>
      <w:rPr>
        <w:rFonts w:hint="default"/>
        <w:color w:val="000000"/>
        <w:sz w:val="32"/>
      </w:rPr>
    </w:lvl>
    <w:lvl w:ilvl="1">
      <w:start w:val="2"/>
      <w:numFmt w:val="decimal"/>
      <w:lvlText w:val="%1.%2-"/>
      <w:lvlJc w:val="left"/>
      <w:pPr>
        <w:ind w:left="510" w:hanging="510"/>
      </w:pPr>
      <w:rPr>
        <w:rFonts w:hint="default"/>
        <w:color w:val="000000"/>
        <w:sz w:val="22"/>
        <w:szCs w:val="22"/>
      </w:rPr>
    </w:lvl>
    <w:lvl w:ilvl="2">
      <w:start w:val="1"/>
      <w:numFmt w:val="decimal"/>
      <w:lvlText w:val="%1.%2-%3."/>
      <w:lvlJc w:val="left"/>
      <w:pPr>
        <w:ind w:left="720" w:hanging="720"/>
      </w:pPr>
      <w:rPr>
        <w:rFonts w:hint="default"/>
        <w:color w:val="000000"/>
        <w:sz w:val="32"/>
      </w:rPr>
    </w:lvl>
    <w:lvl w:ilvl="3">
      <w:start w:val="1"/>
      <w:numFmt w:val="decimal"/>
      <w:lvlText w:val="%1.%2-%3.%4."/>
      <w:lvlJc w:val="left"/>
      <w:pPr>
        <w:ind w:left="720" w:hanging="720"/>
      </w:pPr>
      <w:rPr>
        <w:rFonts w:hint="default"/>
        <w:color w:val="000000"/>
        <w:sz w:val="32"/>
      </w:rPr>
    </w:lvl>
    <w:lvl w:ilvl="4">
      <w:start w:val="1"/>
      <w:numFmt w:val="decimal"/>
      <w:lvlText w:val="%1.%2-%3.%4.%5."/>
      <w:lvlJc w:val="left"/>
      <w:pPr>
        <w:ind w:left="1080" w:hanging="1080"/>
      </w:pPr>
      <w:rPr>
        <w:rFonts w:hint="default"/>
        <w:color w:val="000000"/>
        <w:sz w:val="32"/>
      </w:rPr>
    </w:lvl>
    <w:lvl w:ilvl="5">
      <w:start w:val="1"/>
      <w:numFmt w:val="decimal"/>
      <w:lvlText w:val="%1.%2-%3.%4.%5.%6."/>
      <w:lvlJc w:val="left"/>
      <w:pPr>
        <w:ind w:left="1080" w:hanging="1080"/>
      </w:pPr>
      <w:rPr>
        <w:rFonts w:hint="default"/>
        <w:color w:val="000000"/>
        <w:sz w:val="32"/>
      </w:rPr>
    </w:lvl>
    <w:lvl w:ilvl="6">
      <w:start w:val="1"/>
      <w:numFmt w:val="decimal"/>
      <w:lvlText w:val="%1.%2-%3.%4.%5.%6.%7."/>
      <w:lvlJc w:val="left"/>
      <w:pPr>
        <w:ind w:left="1440" w:hanging="1440"/>
      </w:pPr>
      <w:rPr>
        <w:rFonts w:hint="default"/>
        <w:color w:val="000000"/>
        <w:sz w:val="32"/>
      </w:rPr>
    </w:lvl>
    <w:lvl w:ilvl="7">
      <w:start w:val="1"/>
      <w:numFmt w:val="decimal"/>
      <w:lvlText w:val="%1.%2-%3.%4.%5.%6.%7.%8."/>
      <w:lvlJc w:val="left"/>
      <w:pPr>
        <w:ind w:left="1440" w:hanging="1440"/>
      </w:pPr>
      <w:rPr>
        <w:rFonts w:hint="default"/>
        <w:color w:val="000000"/>
        <w:sz w:val="32"/>
      </w:rPr>
    </w:lvl>
    <w:lvl w:ilvl="8">
      <w:start w:val="1"/>
      <w:numFmt w:val="decimal"/>
      <w:lvlText w:val="%1.%2-%3.%4.%5.%6.%7.%8.%9."/>
      <w:lvlJc w:val="left"/>
      <w:pPr>
        <w:ind w:left="1800" w:hanging="1800"/>
      </w:pPr>
      <w:rPr>
        <w:rFonts w:hint="default"/>
        <w:color w:val="000000"/>
        <w:sz w:val="32"/>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6"/>
  </w:num>
  <w:num w:numId="5">
    <w:abstractNumId w:val="2"/>
  </w:num>
  <w:num w:numId="6">
    <w:abstractNumId w:val="14"/>
  </w:num>
  <w:num w:numId="7">
    <w:abstractNumId w:val="3"/>
  </w:num>
  <w:num w:numId="8">
    <w:abstractNumId w:val="12"/>
  </w:num>
  <w:num w:numId="9">
    <w:abstractNumId w:val="7"/>
  </w:num>
  <w:num w:numId="10">
    <w:abstractNumId w:val="11"/>
  </w:num>
  <w:num w:numId="11">
    <w:abstractNumId w:val="9"/>
  </w:num>
  <w:num w:numId="12">
    <w:abstractNumId w:val="5"/>
  </w:num>
  <w:num w:numId="13">
    <w:abstractNumId w:val="10"/>
  </w:num>
  <w:num w:numId="14">
    <w:abstractNumId w:val="13"/>
  </w:num>
  <w:num w:numId="1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452A9"/>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A1F50"/>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48B4"/>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3CF9"/>
    <w:rsid w:val="0047582C"/>
    <w:rsid w:val="00475936"/>
    <w:rsid w:val="0048007A"/>
    <w:rsid w:val="004959AC"/>
    <w:rsid w:val="004A09DC"/>
    <w:rsid w:val="004A1537"/>
    <w:rsid w:val="004A30C1"/>
    <w:rsid w:val="004A7803"/>
    <w:rsid w:val="004B1898"/>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4B8"/>
    <w:rsid w:val="00564A89"/>
    <w:rsid w:val="00571224"/>
    <w:rsid w:val="005722A3"/>
    <w:rsid w:val="0058607B"/>
    <w:rsid w:val="00594591"/>
    <w:rsid w:val="005A0ED5"/>
    <w:rsid w:val="005C402B"/>
    <w:rsid w:val="005D7CC0"/>
    <w:rsid w:val="005E2922"/>
    <w:rsid w:val="005E753D"/>
    <w:rsid w:val="005F5E8D"/>
    <w:rsid w:val="005F6177"/>
    <w:rsid w:val="00600C4D"/>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7B94"/>
    <w:rsid w:val="00A327A0"/>
    <w:rsid w:val="00A73737"/>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27F7A"/>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2C0B"/>
    <w:rsid w:val="00E26E61"/>
    <w:rsid w:val="00E27B1B"/>
    <w:rsid w:val="00E30BFB"/>
    <w:rsid w:val="00E40A97"/>
    <w:rsid w:val="00E415DF"/>
    <w:rsid w:val="00E4547A"/>
    <w:rsid w:val="00E73173"/>
    <w:rsid w:val="00E77501"/>
    <w:rsid w:val="00E801F7"/>
    <w:rsid w:val="00E81BCB"/>
    <w:rsid w:val="00E82122"/>
    <w:rsid w:val="00E82948"/>
    <w:rsid w:val="00E87FEF"/>
    <w:rsid w:val="00E907AA"/>
    <w:rsid w:val="00E92688"/>
    <w:rsid w:val="00EA0EF6"/>
    <w:rsid w:val="00EA45FB"/>
    <w:rsid w:val="00EA6E3C"/>
    <w:rsid w:val="00EB35BD"/>
    <w:rsid w:val="00EC0B90"/>
    <w:rsid w:val="00EC7959"/>
    <w:rsid w:val="00ED1360"/>
    <w:rsid w:val="00ED3979"/>
    <w:rsid w:val="00ED5F45"/>
    <w:rsid w:val="00ED74B1"/>
    <w:rsid w:val="00EE1B67"/>
    <w:rsid w:val="00EE2035"/>
    <w:rsid w:val="00EE5290"/>
    <w:rsid w:val="00EF6AA9"/>
    <w:rsid w:val="00F043BB"/>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013E"/>
    <w:rsid w:val="00FC22BB"/>
    <w:rsid w:val="00FD2171"/>
    <w:rsid w:val="00FD6E24"/>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473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5723</Words>
  <Characters>30905</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Monique Borges de Azevedo</cp:lastModifiedBy>
  <cp:revision>10</cp:revision>
  <cp:lastPrinted>2024-02-19T17:50:00Z</cp:lastPrinted>
  <dcterms:created xsi:type="dcterms:W3CDTF">2023-12-13T20:19:00Z</dcterms:created>
  <dcterms:modified xsi:type="dcterms:W3CDTF">2024-02-19T17:50:00Z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